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82319" w14:textId="77777777" w:rsidR="00F30A30" w:rsidRPr="00F30A30" w:rsidRDefault="00F30A30" w:rsidP="00F30A30">
      <w:pPr>
        <w:pStyle w:val="2"/>
        <w:jc w:val="center"/>
        <w:rPr>
          <w:rStyle w:val="FontStyle55"/>
          <w:b/>
          <w:i/>
          <w:sz w:val="24"/>
          <w:szCs w:val="24"/>
          <w:lang w:val="en-US"/>
        </w:rPr>
      </w:pPr>
      <w:bookmarkStart w:id="0" w:name="_Hlk125911780"/>
      <w:r w:rsidRPr="00F30A30">
        <w:rPr>
          <w:rStyle w:val="FontStyle55"/>
          <w:b/>
          <w:i/>
          <w:sz w:val="24"/>
          <w:szCs w:val="24"/>
          <w:lang w:val="en"/>
        </w:rPr>
        <w:t>Summary</w:t>
      </w:r>
      <w:r w:rsidRPr="00F30A30">
        <w:rPr>
          <w:rStyle w:val="FontStyle55"/>
          <w:b/>
          <w:i/>
          <w:sz w:val="24"/>
          <w:szCs w:val="24"/>
          <w:lang w:val="en-US"/>
        </w:rPr>
        <w:t xml:space="preserve"> of</w:t>
      </w:r>
      <w:r w:rsidRPr="00F30A30">
        <w:rPr>
          <w:rStyle w:val="FontStyle55"/>
          <w:b/>
          <w:i/>
          <w:sz w:val="24"/>
          <w:szCs w:val="24"/>
          <w:lang w:val="en"/>
        </w:rPr>
        <w:t xml:space="preserve"> the working program of the academic discipline</w:t>
      </w:r>
    </w:p>
    <w:p w14:paraId="12C747FB" w14:textId="1A0EB361" w:rsidR="00F30A30" w:rsidRPr="00F30A30" w:rsidRDefault="00F30A30" w:rsidP="00F30A30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F30A30">
        <w:rPr>
          <w:rStyle w:val="FontStyle55"/>
          <w:rFonts w:cs="Times New Roman"/>
          <w:bCs/>
          <w:sz w:val="24"/>
          <w:szCs w:val="24"/>
          <w:lang w:val="en"/>
        </w:rPr>
        <w:t>«</w:t>
      </w:r>
      <w:bookmarkStart w:id="1" w:name="_GoBack"/>
      <w:r w:rsidRPr="00F30A30">
        <w:rPr>
          <w:b/>
          <w:bCs/>
          <w:sz w:val="24"/>
          <w:szCs w:val="24"/>
          <w:lang w:val="en"/>
        </w:rPr>
        <w:t xml:space="preserve">LEGAL ASPECTS OF ORGANIZATION OF PHARMACEUTICAL ACTIVITIES (ADDI-TIONAL </w:t>
      </w:r>
      <w:r>
        <w:rPr>
          <w:b/>
          <w:bCs/>
          <w:sz w:val="24"/>
          <w:szCs w:val="24"/>
          <w:lang w:val="en"/>
        </w:rPr>
        <w:t>DISCIPLINE</w:t>
      </w:r>
      <w:proofErr w:type="gramStart"/>
      <w:r w:rsidRPr="00F30A30">
        <w:rPr>
          <w:b/>
          <w:bCs/>
          <w:sz w:val="24"/>
          <w:szCs w:val="24"/>
          <w:lang w:val="en"/>
        </w:rPr>
        <w:t>)</w:t>
      </w:r>
      <w:r w:rsidRPr="00F30A30">
        <w:rPr>
          <w:rStyle w:val="FontStyle55"/>
          <w:rFonts w:cs="Times New Roman"/>
          <w:bCs/>
          <w:sz w:val="24"/>
          <w:szCs w:val="24"/>
          <w:lang w:val="en"/>
        </w:rPr>
        <w:t>»</w:t>
      </w:r>
      <w:bookmarkEnd w:id="1"/>
      <w:proofErr w:type="gramEnd"/>
    </w:p>
    <w:p w14:paraId="0221301E" w14:textId="77777777" w:rsidR="00F30A30" w:rsidRPr="00F30A30" w:rsidRDefault="00F30A30" w:rsidP="00F30A30">
      <w:pPr>
        <w:jc w:val="both"/>
        <w:rPr>
          <w:rStyle w:val="FontStyle55"/>
          <w:bCs/>
          <w:sz w:val="24"/>
          <w:szCs w:val="24"/>
          <w:lang w:val="en"/>
        </w:rPr>
      </w:pPr>
    </w:p>
    <w:p w14:paraId="4E3FB0C3" w14:textId="77777777" w:rsidR="00F30A30" w:rsidRPr="00F30A30" w:rsidRDefault="00F30A30" w:rsidP="00F30A30">
      <w:pPr>
        <w:jc w:val="both"/>
        <w:rPr>
          <w:sz w:val="24"/>
          <w:szCs w:val="24"/>
          <w:lang w:val="en-US"/>
        </w:rPr>
      </w:pPr>
      <w:r w:rsidRPr="00F30A30">
        <w:rPr>
          <w:sz w:val="24"/>
          <w:szCs w:val="24"/>
          <w:lang w:val="en"/>
        </w:rPr>
        <w:t>General Educational Program of higher education (</w:t>
      </w:r>
      <w:r w:rsidRPr="00F30A30">
        <w:rPr>
          <w:sz w:val="24"/>
          <w:szCs w:val="24"/>
          <w:u w:val="single"/>
          <w:lang w:val="en"/>
        </w:rPr>
        <w:t>specialist's degree programs</w:t>
      </w:r>
      <w:r w:rsidRPr="00F30A30">
        <w:rPr>
          <w:sz w:val="24"/>
          <w:szCs w:val="24"/>
          <w:lang w:val="en"/>
        </w:rPr>
        <w:t xml:space="preserve">): </w:t>
      </w:r>
      <w:r w:rsidRPr="00F30A30">
        <w:rPr>
          <w:i/>
          <w:iCs/>
          <w:sz w:val="24"/>
          <w:szCs w:val="24"/>
          <w:lang w:val="en"/>
        </w:rPr>
        <w:t>33.05.01</w:t>
      </w:r>
      <w:r w:rsidRPr="00F30A30">
        <w:rPr>
          <w:sz w:val="24"/>
          <w:szCs w:val="24"/>
          <w:lang w:val="en"/>
        </w:rPr>
        <w:t xml:space="preserve"> </w:t>
      </w:r>
      <w:r w:rsidRPr="00F30A30">
        <w:rPr>
          <w:i/>
          <w:sz w:val="24"/>
          <w:szCs w:val="24"/>
          <w:lang w:val="en"/>
        </w:rPr>
        <w:t>Pharm</w:t>
      </w:r>
      <w:r w:rsidRPr="00F30A30">
        <w:rPr>
          <w:i/>
          <w:sz w:val="24"/>
          <w:szCs w:val="24"/>
          <w:lang w:val="en"/>
        </w:rPr>
        <w:t>a</w:t>
      </w:r>
      <w:r w:rsidRPr="00F30A30">
        <w:rPr>
          <w:i/>
          <w:sz w:val="24"/>
          <w:szCs w:val="24"/>
          <w:lang w:val="en"/>
        </w:rPr>
        <w:t>cy</w:t>
      </w:r>
    </w:p>
    <w:p w14:paraId="7C6CF5B7" w14:textId="77777777" w:rsidR="00F30A30" w:rsidRPr="00F30A30" w:rsidRDefault="00F30A30" w:rsidP="00F30A30">
      <w:pPr>
        <w:rPr>
          <w:sz w:val="24"/>
          <w:szCs w:val="24"/>
          <w:lang w:val="en-US"/>
        </w:rPr>
      </w:pPr>
      <w:r w:rsidRPr="00F30A30">
        <w:rPr>
          <w:sz w:val="24"/>
          <w:szCs w:val="24"/>
          <w:lang w:val="en"/>
        </w:rPr>
        <w:t xml:space="preserve">Department: </w:t>
      </w:r>
      <w:r w:rsidRPr="00F30A30">
        <w:rPr>
          <w:i/>
          <w:sz w:val="24"/>
          <w:szCs w:val="24"/>
          <w:lang w:val="en"/>
        </w:rPr>
        <w:t>Management and Economics of Pharmacy and Pharmaceutical Technology</w:t>
      </w:r>
      <w:r w:rsidRPr="00F30A30">
        <w:rPr>
          <w:sz w:val="24"/>
          <w:szCs w:val="24"/>
          <w:lang w:val="en-US"/>
        </w:rPr>
        <w:t xml:space="preserve"> </w:t>
      </w:r>
    </w:p>
    <w:p w14:paraId="7B1B6C41" w14:textId="77777777" w:rsidR="00F30A30" w:rsidRPr="00F30A30" w:rsidRDefault="00F30A30" w:rsidP="00F30A30">
      <w:pPr>
        <w:rPr>
          <w:sz w:val="24"/>
          <w:szCs w:val="24"/>
          <w:lang w:val="en-US"/>
        </w:rPr>
      </w:pPr>
    </w:p>
    <w:p w14:paraId="661506B4" w14:textId="77777777" w:rsidR="00F30A30" w:rsidRPr="00F30A30" w:rsidRDefault="00F30A30" w:rsidP="00F30A30">
      <w:pPr>
        <w:tabs>
          <w:tab w:val="left" w:pos="709"/>
          <w:tab w:val="left" w:pos="851"/>
        </w:tabs>
        <w:ind w:firstLine="567"/>
        <w:jc w:val="both"/>
        <w:rPr>
          <w:iCs/>
          <w:sz w:val="24"/>
          <w:szCs w:val="24"/>
          <w:lang w:val="en"/>
        </w:rPr>
      </w:pPr>
      <w:r w:rsidRPr="00F30A30">
        <w:rPr>
          <w:b/>
          <w:sz w:val="24"/>
          <w:szCs w:val="24"/>
          <w:lang w:val="en"/>
        </w:rPr>
        <w:t xml:space="preserve">1. </w:t>
      </w:r>
      <w:r w:rsidRPr="00F30A30">
        <w:rPr>
          <w:b/>
          <w:bCs/>
          <w:sz w:val="24"/>
          <w:szCs w:val="24"/>
          <w:lang w:val="en"/>
        </w:rPr>
        <w:t>The purpose of mastering the discipline</w:t>
      </w:r>
      <w:r w:rsidRPr="00F30A30">
        <w:rPr>
          <w:sz w:val="24"/>
          <w:szCs w:val="24"/>
          <w:lang w:val="en"/>
        </w:rPr>
        <w:t xml:space="preserve"> – </w:t>
      </w:r>
      <w:r w:rsidRPr="00F30A30">
        <w:rPr>
          <w:iCs/>
          <w:sz w:val="24"/>
          <w:szCs w:val="24"/>
          <w:lang w:val="en"/>
        </w:rPr>
        <w:t>participation in forming the following comp</w:t>
      </w:r>
      <w:r w:rsidRPr="00F30A30">
        <w:rPr>
          <w:iCs/>
          <w:sz w:val="24"/>
          <w:szCs w:val="24"/>
          <w:lang w:val="en"/>
        </w:rPr>
        <w:t>e</w:t>
      </w:r>
      <w:r w:rsidRPr="00F30A30">
        <w:rPr>
          <w:iCs/>
          <w:sz w:val="24"/>
          <w:szCs w:val="24"/>
          <w:lang w:val="en"/>
        </w:rPr>
        <w:t>tencies:</w:t>
      </w:r>
    </w:p>
    <w:p w14:paraId="64A572F1" w14:textId="77777777" w:rsidR="00F30A30" w:rsidRPr="00F30A30" w:rsidRDefault="00F30A30" w:rsidP="00F30A30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cs="Times New Roman"/>
          <w:sz w:val="24"/>
          <w:szCs w:val="24"/>
        </w:rPr>
      </w:pPr>
      <w:r w:rsidRPr="00F30A30">
        <w:rPr>
          <w:sz w:val="24"/>
          <w:szCs w:val="24"/>
          <w:lang w:val="en"/>
        </w:rPr>
        <w:t>professional competencies (PC-10 (10.1, 10.2)).</w:t>
      </w:r>
    </w:p>
    <w:p w14:paraId="07FD040A" w14:textId="77777777" w:rsidR="00F30A30" w:rsidRPr="00F30A30" w:rsidRDefault="00F30A30" w:rsidP="00F30A30">
      <w:pPr>
        <w:ind w:firstLine="567"/>
        <w:jc w:val="both"/>
        <w:rPr>
          <w:sz w:val="24"/>
          <w:szCs w:val="24"/>
          <w:lang w:val="en-US"/>
        </w:rPr>
      </w:pPr>
    </w:p>
    <w:p w14:paraId="1090B174" w14:textId="77777777" w:rsidR="00F30A30" w:rsidRPr="00F30A30" w:rsidRDefault="00F30A30" w:rsidP="00F30A30">
      <w:pPr>
        <w:tabs>
          <w:tab w:val="left" w:pos="993"/>
        </w:tabs>
        <w:ind w:firstLine="567"/>
        <w:rPr>
          <w:rStyle w:val="FontStyle55"/>
          <w:rFonts w:cs="Times New Roman"/>
          <w:bCs/>
          <w:sz w:val="24"/>
          <w:szCs w:val="24"/>
          <w:lang w:val="en-US"/>
        </w:rPr>
      </w:pPr>
      <w:r w:rsidRPr="00F30A30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Pr="00F30A30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</w:t>
      </w:r>
      <w:r w:rsidRPr="00F30A30">
        <w:rPr>
          <w:rStyle w:val="FontStyle55"/>
          <w:rFonts w:cs="Times New Roman"/>
          <w:bCs/>
          <w:sz w:val="24"/>
          <w:szCs w:val="24"/>
          <w:lang w:val="en"/>
        </w:rPr>
        <w:t>o</w:t>
      </w:r>
      <w:r w:rsidRPr="00F30A30">
        <w:rPr>
          <w:rStyle w:val="FontStyle55"/>
          <w:rFonts w:cs="Times New Roman"/>
          <w:bCs/>
          <w:sz w:val="24"/>
          <w:szCs w:val="24"/>
          <w:lang w:val="en"/>
        </w:rPr>
        <w:t>gram (GEP)</w:t>
      </w:r>
    </w:p>
    <w:p w14:paraId="55CC4A50" w14:textId="3E353CC2" w:rsidR="00F30A30" w:rsidRPr="00E3528D" w:rsidRDefault="00F30A30" w:rsidP="00F30A30">
      <w:pPr>
        <w:tabs>
          <w:tab w:val="left" w:pos="709"/>
        </w:tabs>
        <w:ind w:firstLine="539"/>
        <w:jc w:val="both"/>
        <w:rPr>
          <w:sz w:val="24"/>
          <w:szCs w:val="24"/>
          <w:lang w:val="en-US"/>
        </w:rPr>
      </w:pPr>
      <w:r w:rsidRPr="00F30A30">
        <w:rPr>
          <w:b/>
          <w:bCs/>
          <w:sz w:val="24"/>
          <w:szCs w:val="24"/>
          <w:lang w:val="en"/>
        </w:rPr>
        <w:t xml:space="preserve">2.1. </w:t>
      </w:r>
      <w:r w:rsidRPr="00E3528D">
        <w:rPr>
          <w:sz w:val="24"/>
          <w:szCs w:val="24"/>
          <w:lang w:val="en"/>
        </w:rPr>
        <w:t>The discipline is taught in</w:t>
      </w:r>
      <w:r>
        <w:rPr>
          <w:sz w:val="24"/>
          <w:szCs w:val="24"/>
          <w:lang w:val="en"/>
        </w:rPr>
        <w:t xml:space="preserve"> the</w:t>
      </w:r>
      <w:r w:rsidRPr="00E3528D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8</w:t>
      </w:r>
      <w:r w:rsidRPr="00E3528D">
        <w:rPr>
          <w:sz w:val="24"/>
          <w:szCs w:val="24"/>
          <w:lang w:val="en"/>
        </w:rPr>
        <w:t xml:space="preserve"> semester/</w:t>
      </w:r>
      <w:r>
        <w:rPr>
          <w:sz w:val="24"/>
          <w:szCs w:val="24"/>
          <w:lang w:val="en"/>
        </w:rPr>
        <w:t xml:space="preserve">4 </w:t>
      </w:r>
      <w:r w:rsidRPr="00E3528D">
        <w:rPr>
          <w:sz w:val="24"/>
          <w:szCs w:val="24"/>
          <w:lang w:val="en"/>
        </w:rPr>
        <w:t>year of study.</w:t>
      </w:r>
    </w:p>
    <w:p w14:paraId="4EA082C5" w14:textId="77777777" w:rsidR="00F30A30" w:rsidRPr="00F30A30" w:rsidRDefault="00F30A30" w:rsidP="00F30A30">
      <w:pPr>
        <w:ind w:firstLine="567"/>
        <w:rPr>
          <w:sz w:val="24"/>
          <w:szCs w:val="24"/>
          <w:lang w:val="en-US"/>
        </w:rPr>
      </w:pPr>
    </w:p>
    <w:p w14:paraId="058F1793" w14:textId="72904822" w:rsidR="00F30A30" w:rsidRDefault="00F30A30" w:rsidP="00F30A30">
      <w:pPr>
        <w:tabs>
          <w:tab w:val="left" w:pos="708"/>
          <w:tab w:val="right" w:pos="9639"/>
        </w:tabs>
        <w:ind w:firstLine="567"/>
        <w:jc w:val="both"/>
        <w:rPr>
          <w:sz w:val="24"/>
          <w:szCs w:val="24"/>
          <w:lang w:val="en"/>
        </w:rPr>
      </w:pPr>
      <w:r w:rsidRPr="00F30A30">
        <w:rPr>
          <w:b/>
          <w:sz w:val="24"/>
          <w:szCs w:val="24"/>
          <w:lang w:val="en"/>
        </w:rPr>
        <w:t xml:space="preserve">3. Deliverables of mastering the academic discipline and </w:t>
      </w:r>
      <w:r w:rsidRPr="00F30A30">
        <w:rPr>
          <w:b/>
          <w:sz w:val="24"/>
          <w:szCs w:val="24"/>
          <w:lang w:val="en-US"/>
        </w:rPr>
        <w:t>metrics</w:t>
      </w:r>
      <w:r w:rsidRPr="00F30A30">
        <w:rPr>
          <w:b/>
          <w:sz w:val="24"/>
          <w:szCs w:val="24"/>
          <w:lang w:val="en"/>
        </w:rPr>
        <w:t xml:space="preserve"> of competence acquis</w:t>
      </w:r>
      <w:r w:rsidRPr="00F30A30">
        <w:rPr>
          <w:b/>
          <w:sz w:val="24"/>
          <w:szCs w:val="24"/>
          <w:lang w:val="en"/>
        </w:rPr>
        <w:t>i</w:t>
      </w:r>
      <w:r w:rsidRPr="00F30A30">
        <w:rPr>
          <w:b/>
          <w:sz w:val="24"/>
          <w:szCs w:val="24"/>
          <w:lang w:val="en"/>
        </w:rPr>
        <w:t>tion</w:t>
      </w:r>
    </w:p>
    <w:bookmarkEnd w:id="0"/>
    <w:p w14:paraId="0A6688F7" w14:textId="186470D9" w:rsidR="00D17997" w:rsidRPr="00E3528D" w:rsidRDefault="00D17997" w:rsidP="00D17997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  <w:r w:rsidRPr="00E3528D">
        <w:rPr>
          <w:sz w:val="24"/>
          <w:szCs w:val="24"/>
          <w:lang w:val="en"/>
        </w:rPr>
        <w:t xml:space="preserve">Mastering the discipline aims at acquiring the following </w:t>
      </w:r>
      <w:r>
        <w:rPr>
          <w:sz w:val="24"/>
          <w:szCs w:val="24"/>
          <w:lang w:val="en"/>
        </w:rPr>
        <w:t xml:space="preserve">professional </w:t>
      </w:r>
      <w:r w:rsidR="00482296" w:rsidRPr="00E3528D">
        <w:rPr>
          <w:sz w:val="24"/>
          <w:szCs w:val="24"/>
          <w:lang w:val="en"/>
        </w:rPr>
        <w:t>competenc</w:t>
      </w:r>
      <w:r w:rsidR="00482296">
        <w:rPr>
          <w:sz w:val="24"/>
          <w:szCs w:val="24"/>
          <w:lang w:val="en"/>
        </w:rPr>
        <w:t xml:space="preserve">e </w:t>
      </w:r>
      <w:r>
        <w:rPr>
          <w:sz w:val="24"/>
          <w:szCs w:val="24"/>
          <w:lang w:val="en"/>
        </w:rPr>
        <w:t>(PC)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50"/>
        <w:gridCol w:w="1276"/>
        <w:gridCol w:w="1417"/>
        <w:gridCol w:w="2127"/>
        <w:gridCol w:w="1701"/>
        <w:gridCol w:w="1937"/>
        <w:gridCol w:w="13"/>
      </w:tblGrid>
      <w:tr w:rsidR="00463D14" w:rsidRPr="00F30A30" w14:paraId="70E53144" w14:textId="77777777" w:rsidTr="00F30A30">
        <w:trPr>
          <w:trHeight w:val="340"/>
          <w:jc w:val="center"/>
        </w:trPr>
        <w:tc>
          <w:tcPr>
            <w:tcW w:w="421" w:type="dxa"/>
            <w:vMerge w:val="restart"/>
            <w:vAlign w:val="center"/>
          </w:tcPr>
          <w:p w14:paraId="0BC77A17" w14:textId="77659003" w:rsidR="00463D14" w:rsidRPr="009D10E8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35B7D">
              <w:rPr>
                <w:sz w:val="20"/>
                <w:lang w:val="en"/>
              </w:rPr>
              <w:t xml:space="preserve">№ </w:t>
            </w:r>
          </w:p>
        </w:tc>
        <w:tc>
          <w:tcPr>
            <w:tcW w:w="850" w:type="dxa"/>
            <w:vMerge w:val="restart"/>
            <w:vAlign w:val="center"/>
          </w:tcPr>
          <w:p w14:paraId="7EA38BAF" w14:textId="17E44861" w:rsidR="00463D14" w:rsidRPr="009D10E8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535B7D">
              <w:rPr>
                <w:sz w:val="20"/>
                <w:lang w:val="en"/>
              </w:rPr>
              <w:t>Compe</w:t>
            </w:r>
            <w:r>
              <w:rPr>
                <w:sz w:val="20"/>
                <w:lang w:val="en"/>
              </w:rPr>
              <w:t>-</w:t>
            </w:r>
            <w:r w:rsidRPr="00535B7D">
              <w:rPr>
                <w:sz w:val="20"/>
                <w:lang w:val="en"/>
              </w:rPr>
              <w:t>tence</w:t>
            </w:r>
            <w:proofErr w:type="spellEnd"/>
            <w:r w:rsidRPr="00535B7D">
              <w:rPr>
                <w:sz w:val="20"/>
                <w:lang w:val="en"/>
              </w:rPr>
              <w:t xml:space="preserve"> code</w:t>
            </w:r>
          </w:p>
        </w:tc>
        <w:tc>
          <w:tcPr>
            <w:tcW w:w="1276" w:type="dxa"/>
            <w:vMerge w:val="restart"/>
            <w:vAlign w:val="center"/>
          </w:tcPr>
          <w:p w14:paraId="6332B5C7" w14:textId="0284B037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535B7D">
              <w:rPr>
                <w:color w:val="000000"/>
                <w:sz w:val="20"/>
                <w:lang w:val="en"/>
              </w:rPr>
              <w:t>The content of the co</w:t>
            </w:r>
            <w:r w:rsidRPr="00535B7D">
              <w:rPr>
                <w:color w:val="000000"/>
                <w:sz w:val="20"/>
                <w:lang w:val="en"/>
              </w:rPr>
              <w:t>m</w:t>
            </w:r>
            <w:r w:rsidRPr="00535B7D">
              <w:rPr>
                <w:color w:val="000000"/>
                <w:sz w:val="20"/>
                <w:lang w:val="en"/>
              </w:rPr>
              <w:t>petence (or its part)</w:t>
            </w:r>
          </w:p>
        </w:tc>
        <w:tc>
          <w:tcPr>
            <w:tcW w:w="1417" w:type="dxa"/>
            <w:vMerge w:val="restart"/>
            <w:vAlign w:val="center"/>
          </w:tcPr>
          <w:p w14:paraId="2B748137" w14:textId="4FC8DE38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535B7D">
              <w:rPr>
                <w:bCs/>
                <w:sz w:val="20"/>
                <w:lang w:val="en"/>
              </w:rPr>
              <w:t xml:space="preserve">Code and name of the competence </w:t>
            </w:r>
            <w:r w:rsidRPr="00535B7D">
              <w:rPr>
                <w:sz w:val="20"/>
                <w:lang w:val="en"/>
              </w:rPr>
              <w:t>acquisition</w:t>
            </w:r>
            <w:r w:rsidRPr="00535B7D">
              <w:rPr>
                <w:bCs/>
                <w:sz w:val="20"/>
                <w:lang w:val="en"/>
              </w:rPr>
              <w:t xml:space="preserve"> metric</w:t>
            </w:r>
          </w:p>
        </w:tc>
        <w:tc>
          <w:tcPr>
            <w:tcW w:w="5778" w:type="dxa"/>
            <w:gridSpan w:val="4"/>
            <w:vAlign w:val="center"/>
          </w:tcPr>
          <w:p w14:paraId="2F8DE05E" w14:textId="4956373F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535B7D">
              <w:rPr>
                <w:sz w:val="20"/>
                <w:lang w:val="en"/>
              </w:rPr>
              <w:t>As a result of mastering the discipline, the students should:</w:t>
            </w:r>
          </w:p>
        </w:tc>
      </w:tr>
      <w:tr w:rsidR="00463D14" w:rsidRPr="009D10E8" w14:paraId="56EF614C" w14:textId="77777777" w:rsidTr="00F30A30">
        <w:trPr>
          <w:gridAfter w:val="1"/>
          <w:wAfter w:w="13" w:type="dxa"/>
          <w:trHeight w:val="340"/>
          <w:jc w:val="center"/>
        </w:trPr>
        <w:tc>
          <w:tcPr>
            <w:tcW w:w="421" w:type="dxa"/>
            <w:vMerge/>
            <w:vAlign w:val="center"/>
          </w:tcPr>
          <w:p w14:paraId="239FE39C" w14:textId="77777777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7EB8C59" w14:textId="77777777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2740069" w14:textId="77777777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74079F6" w14:textId="77777777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6F93A696" w14:textId="058F81FD" w:rsidR="00463D14" w:rsidRPr="00463D14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  <w:lang w:val="en"/>
              </w:rPr>
            </w:pPr>
            <w:r w:rsidRPr="00535B7D">
              <w:rPr>
                <w:sz w:val="20"/>
                <w:lang w:val="en"/>
              </w:rPr>
              <w:t>know</w:t>
            </w:r>
          </w:p>
        </w:tc>
        <w:tc>
          <w:tcPr>
            <w:tcW w:w="1701" w:type="dxa"/>
            <w:vAlign w:val="center"/>
          </w:tcPr>
          <w:p w14:paraId="0E6AA8A1" w14:textId="0D6888A4" w:rsidR="00463D14" w:rsidRPr="00463D14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  <w:lang w:val="en"/>
              </w:rPr>
            </w:pPr>
            <w:r w:rsidRPr="00535B7D">
              <w:rPr>
                <w:sz w:val="20"/>
                <w:lang w:val="en"/>
              </w:rPr>
              <w:t>be able to</w:t>
            </w:r>
          </w:p>
        </w:tc>
        <w:tc>
          <w:tcPr>
            <w:tcW w:w="1937" w:type="dxa"/>
            <w:vAlign w:val="center"/>
          </w:tcPr>
          <w:p w14:paraId="7E4EC06F" w14:textId="77777777" w:rsidR="00463D14" w:rsidRPr="00535B7D" w:rsidRDefault="00463D14" w:rsidP="00463D14">
            <w:pPr>
              <w:jc w:val="center"/>
              <w:rPr>
                <w:sz w:val="20"/>
                <w:lang w:val="en"/>
              </w:rPr>
            </w:pPr>
          </w:p>
          <w:p w14:paraId="2E395FC1" w14:textId="77777777" w:rsidR="00463D14" w:rsidRPr="00535B7D" w:rsidRDefault="00463D14" w:rsidP="00463D14">
            <w:pPr>
              <w:jc w:val="center"/>
              <w:rPr>
                <w:sz w:val="20"/>
              </w:rPr>
            </w:pPr>
            <w:r w:rsidRPr="00535B7D">
              <w:rPr>
                <w:sz w:val="20"/>
                <w:lang w:val="en"/>
              </w:rPr>
              <w:t>possess</w:t>
            </w:r>
          </w:p>
          <w:p w14:paraId="2CD3DDC4" w14:textId="63197758" w:rsidR="00463D14" w:rsidRPr="00463D14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  <w:lang w:val="en"/>
              </w:rPr>
            </w:pPr>
          </w:p>
        </w:tc>
      </w:tr>
      <w:tr w:rsidR="00463D14" w:rsidRPr="00F30A30" w14:paraId="41622BD1" w14:textId="77777777" w:rsidTr="00F30A30">
        <w:trPr>
          <w:gridAfter w:val="1"/>
          <w:wAfter w:w="13" w:type="dxa"/>
          <w:trHeight w:val="340"/>
          <w:jc w:val="center"/>
        </w:trPr>
        <w:tc>
          <w:tcPr>
            <w:tcW w:w="421" w:type="dxa"/>
          </w:tcPr>
          <w:p w14:paraId="06602338" w14:textId="77777777" w:rsidR="00463D14" w:rsidRPr="009D10E8" w:rsidRDefault="00463D14" w:rsidP="00463D1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708"/>
                <w:tab w:val="right" w:leader="underscore" w:pos="9639"/>
              </w:tabs>
              <w:ind w:left="0" w:firstLine="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133D258" w14:textId="77777777" w:rsidR="00463D14" w:rsidRPr="009D10E8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D10E8">
              <w:rPr>
                <w:bCs/>
                <w:sz w:val="22"/>
                <w:szCs w:val="22"/>
                <w:lang w:val="en"/>
              </w:rPr>
              <w:t>PC-10</w:t>
            </w:r>
          </w:p>
        </w:tc>
        <w:tc>
          <w:tcPr>
            <w:tcW w:w="1276" w:type="dxa"/>
          </w:tcPr>
          <w:p w14:paraId="2C1939E2" w14:textId="6E859CA1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463D14">
              <w:rPr>
                <w:bCs/>
                <w:sz w:val="22"/>
                <w:szCs w:val="22"/>
                <w:lang w:val="en"/>
              </w:rPr>
              <w:t>Able to carry out measures to control (s</w:t>
            </w:r>
            <w:r w:rsidRPr="00463D14">
              <w:rPr>
                <w:bCs/>
                <w:sz w:val="22"/>
                <w:szCs w:val="22"/>
                <w:lang w:val="en"/>
              </w:rPr>
              <w:t>u</w:t>
            </w:r>
            <w:r w:rsidRPr="00463D14">
              <w:rPr>
                <w:bCs/>
                <w:sz w:val="22"/>
                <w:szCs w:val="22"/>
                <w:lang w:val="en"/>
              </w:rPr>
              <w:t>pervise) the activities of legal ent</w:t>
            </w:r>
            <w:r w:rsidRPr="00463D14">
              <w:rPr>
                <w:bCs/>
                <w:sz w:val="22"/>
                <w:szCs w:val="22"/>
                <w:lang w:val="en"/>
              </w:rPr>
              <w:t>i</w:t>
            </w:r>
            <w:r w:rsidRPr="00463D14">
              <w:rPr>
                <w:bCs/>
                <w:sz w:val="22"/>
                <w:szCs w:val="22"/>
                <w:lang w:val="en"/>
              </w:rPr>
              <w:t>ties and individuals licensed for pharmace</w:t>
            </w:r>
            <w:r w:rsidRPr="00463D14">
              <w:rPr>
                <w:bCs/>
                <w:sz w:val="22"/>
                <w:szCs w:val="22"/>
                <w:lang w:val="en"/>
              </w:rPr>
              <w:t>u</w:t>
            </w:r>
            <w:r w:rsidRPr="00463D14">
              <w:rPr>
                <w:bCs/>
                <w:sz w:val="22"/>
                <w:szCs w:val="22"/>
                <w:lang w:val="en"/>
              </w:rPr>
              <w:t>tical activ</w:t>
            </w:r>
            <w:r w:rsidRPr="00463D14">
              <w:rPr>
                <w:bCs/>
                <w:sz w:val="22"/>
                <w:szCs w:val="22"/>
                <w:lang w:val="en"/>
              </w:rPr>
              <w:t>i</w:t>
            </w:r>
            <w:r w:rsidRPr="00463D14">
              <w:rPr>
                <w:bCs/>
                <w:sz w:val="22"/>
                <w:szCs w:val="22"/>
                <w:lang w:val="en"/>
              </w:rPr>
              <w:t>ties, to comply with ma</w:t>
            </w:r>
            <w:r w:rsidRPr="00463D14">
              <w:rPr>
                <w:bCs/>
                <w:sz w:val="22"/>
                <w:szCs w:val="22"/>
                <w:lang w:val="en"/>
              </w:rPr>
              <w:t>n</w:t>
            </w:r>
            <w:r w:rsidRPr="00463D14">
              <w:rPr>
                <w:bCs/>
                <w:sz w:val="22"/>
                <w:szCs w:val="22"/>
                <w:lang w:val="en"/>
              </w:rPr>
              <w:t>datory r</w:t>
            </w:r>
            <w:r w:rsidRPr="00463D14">
              <w:rPr>
                <w:bCs/>
                <w:sz w:val="22"/>
                <w:szCs w:val="22"/>
                <w:lang w:val="en"/>
              </w:rPr>
              <w:t>e</w:t>
            </w:r>
            <w:r w:rsidRPr="00463D14">
              <w:rPr>
                <w:bCs/>
                <w:sz w:val="22"/>
                <w:szCs w:val="22"/>
                <w:lang w:val="en"/>
              </w:rPr>
              <w:t>quirements</w:t>
            </w:r>
          </w:p>
        </w:tc>
        <w:tc>
          <w:tcPr>
            <w:tcW w:w="1417" w:type="dxa"/>
          </w:tcPr>
          <w:p w14:paraId="5ECE6A9E" w14:textId="030D529C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9D10E8">
              <w:rPr>
                <w:bCs/>
                <w:sz w:val="22"/>
                <w:szCs w:val="22"/>
                <w:lang w:val="en"/>
              </w:rPr>
              <w:t xml:space="preserve">PC-10.1. </w:t>
            </w:r>
            <w:r w:rsidRPr="00463D14">
              <w:rPr>
                <w:bCs/>
                <w:sz w:val="22"/>
                <w:szCs w:val="22"/>
                <w:lang w:val="en"/>
              </w:rPr>
              <w:t>S</w:t>
            </w:r>
            <w:r w:rsidRPr="00463D14">
              <w:rPr>
                <w:bCs/>
                <w:sz w:val="22"/>
                <w:szCs w:val="22"/>
                <w:lang w:val="en"/>
              </w:rPr>
              <w:t>u</w:t>
            </w:r>
            <w:r w:rsidRPr="00463D14">
              <w:rPr>
                <w:bCs/>
                <w:sz w:val="22"/>
                <w:szCs w:val="22"/>
                <w:lang w:val="en"/>
              </w:rPr>
              <w:t>pervises the activities of legal entities and indivi</w:t>
            </w:r>
            <w:r w:rsidRPr="00463D14">
              <w:rPr>
                <w:bCs/>
                <w:sz w:val="22"/>
                <w:szCs w:val="22"/>
                <w:lang w:val="en"/>
              </w:rPr>
              <w:t>d</w:t>
            </w:r>
            <w:r w:rsidRPr="00463D14">
              <w:rPr>
                <w:bCs/>
                <w:sz w:val="22"/>
                <w:szCs w:val="22"/>
                <w:lang w:val="en"/>
              </w:rPr>
              <w:t>uals who have licenses for pharm</w:t>
            </w:r>
            <w:r w:rsidRPr="00463D14">
              <w:rPr>
                <w:bCs/>
                <w:sz w:val="22"/>
                <w:szCs w:val="22"/>
                <w:lang w:val="en"/>
              </w:rPr>
              <w:t>a</w:t>
            </w:r>
            <w:r w:rsidRPr="00463D14">
              <w:rPr>
                <w:bCs/>
                <w:sz w:val="22"/>
                <w:szCs w:val="22"/>
                <w:lang w:val="en"/>
              </w:rPr>
              <w:t>ceutical a</w:t>
            </w:r>
            <w:r w:rsidRPr="00463D14">
              <w:rPr>
                <w:bCs/>
                <w:sz w:val="22"/>
                <w:szCs w:val="22"/>
                <w:lang w:val="en"/>
              </w:rPr>
              <w:t>c</w:t>
            </w:r>
            <w:r w:rsidRPr="00463D14">
              <w:rPr>
                <w:bCs/>
                <w:sz w:val="22"/>
                <w:szCs w:val="22"/>
                <w:lang w:val="en"/>
              </w:rPr>
              <w:t>tivity</w:t>
            </w:r>
          </w:p>
          <w:p w14:paraId="2FDD0F3C" w14:textId="01F9D4C9" w:rsidR="00463D14" w:rsidRPr="0009128F" w:rsidRDefault="00463D14" w:rsidP="00463D1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9D10E8">
              <w:rPr>
                <w:bCs/>
                <w:sz w:val="22"/>
                <w:szCs w:val="22"/>
                <w:lang w:val="en"/>
              </w:rPr>
              <w:t xml:space="preserve">PC-10.2. </w:t>
            </w:r>
            <w:r w:rsidRPr="00463D14">
              <w:rPr>
                <w:bCs/>
                <w:sz w:val="22"/>
                <w:szCs w:val="22"/>
                <w:lang w:val="en"/>
              </w:rPr>
              <w:t>Monitors the procedure established by law r</w:t>
            </w:r>
            <w:r w:rsidRPr="00463D14">
              <w:rPr>
                <w:bCs/>
                <w:sz w:val="22"/>
                <w:szCs w:val="22"/>
                <w:lang w:val="en"/>
              </w:rPr>
              <w:t>e</w:t>
            </w:r>
            <w:r w:rsidRPr="00463D14">
              <w:rPr>
                <w:bCs/>
                <w:sz w:val="22"/>
                <w:szCs w:val="22"/>
                <w:lang w:val="en"/>
              </w:rPr>
              <w:t>garding the compliance of available medicines for medical use, instru</w:t>
            </w:r>
            <w:r w:rsidRPr="00463D14">
              <w:rPr>
                <w:bCs/>
                <w:sz w:val="22"/>
                <w:szCs w:val="22"/>
                <w:lang w:val="en"/>
              </w:rPr>
              <w:t>c</w:t>
            </w:r>
            <w:r w:rsidRPr="00463D14">
              <w:rPr>
                <w:bCs/>
                <w:sz w:val="22"/>
                <w:szCs w:val="22"/>
                <w:lang w:val="en"/>
              </w:rPr>
              <w:t>tions and data on its safety and effectiveness</w:t>
            </w:r>
          </w:p>
        </w:tc>
        <w:tc>
          <w:tcPr>
            <w:tcW w:w="2127" w:type="dxa"/>
          </w:tcPr>
          <w:p w14:paraId="35398FB8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the structure of the modern health care system of the Ru</w:t>
            </w:r>
            <w:r w:rsidRPr="00981669">
              <w:rPr>
                <w:sz w:val="22"/>
                <w:szCs w:val="22"/>
                <w:lang w:val="en"/>
              </w:rPr>
              <w:t>s</w:t>
            </w:r>
            <w:r w:rsidRPr="00981669">
              <w:rPr>
                <w:sz w:val="22"/>
                <w:szCs w:val="22"/>
                <w:lang w:val="en"/>
              </w:rPr>
              <w:t>sian Federation, the basics of the legisl</w:t>
            </w:r>
            <w:r w:rsidRPr="00981669">
              <w:rPr>
                <w:sz w:val="22"/>
                <w:szCs w:val="22"/>
                <w:lang w:val="en"/>
              </w:rPr>
              <w:t>a</w:t>
            </w:r>
            <w:r w:rsidRPr="00981669">
              <w:rPr>
                <w:sz w:val="22"/>
                <w:szCs w:val="22"/>
                <w:lang w:val="en"/>
              </w:rPr>
              <w:t>tion of the Russian Federation on the protection of public health, the main re</w:t>
            </w:r>
            <w:r w:rsidRPr="00981669">
              <w:rPr>
                <w:sz w:val="22"/>
                <w:szCs w:val="22"/>
                <w:lang w:val="en"/>
              </w:rPr>
              <w:t>g</w:t>
            </w:r>
            <w:r w:rsidRPr="00981669">
              <w:rPr>
                <w:sz w:val="22"/>
                <w:szCs w:val="22"/>
                <w:lang w:val="en"/>
              </w:rPr>
              <w:t>ulatory and legal documents regulating relations in the field of circulation of medicines;</w:t>
            </w:r>
          </w:p>
          <w:p w14:paraId="7C4B623A" w14:textId="5A85F769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legal status of pharmaceutical ent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ties: individual e</w:t>
            </w:r>
            <w:r w:rsidRPr="00981669">
              <w:rPr>
                <w:sz w:val="22"/>
                <w:szCs w:val="22"/>
                <w:lang w:val="en"/>
              </w:rPr>
              <w:t>n</w:t>
            </w:r>
            <w:r w:rsidRPr="00981669">
              <w:rPr>
                <w:sz w:val="22"/>
                <w:szCs w:val="22"/>
                <w:lang w:val="en"/>
              </w:rPr>
              <w:t>trepreneurs and legal entities, types of l</w:t>
            </w:r>
            <w:r w:rsidRPr="00981669">
              <w:rPr>
                <w:sz w:val="22"/>
                <w:szCs w:val="22"/>
                <w:lang w:val="en"/>
              </w:rPr>
              <w:t>e</w:t>
            </w:r>
            <w:r w:rsidRPr="00981669">
              <w:rPr>
                <w:sz w:val="22"/>
                <w:szCs w:val="22"/>
                <w:lang w:val="en"/>
              </w:rPr>
              <w:t>gal entities;</w:t>
            </w:r>
          </w:p>
          <w:p w14:paraId="730449D9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regulatory fram</w:t>
            </w:r>
            <w:r w:rsidRPr="00981669">
              <w:rPr>
                <w:sz w:val="22"/>
                <w:szCs w:val="22"/>
                <w:lang w:val="en"/>
              </w:rPr>
              <w:t>e</w:t>
            </w:r>
            <w:r w:rsidRPr="00981669">
              <w:rPr>
                <w:sz w:val="22"/>
                <w:szCs w:val="22"/>
                <w:lang w:val="en"/>
              </w:rPr>
              <w:t>work for the creation, reorganization and liquidation of ind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vidual entrepreneurs and legal entities e</w:t>
            </w:r>
            <w:r w:rsidRPr="00981669">
              <w:rPr>
                <w:sz w:val="22"/>
                <w:szCs w:val="22"/>
                <w:lang w:val="en"/>
              </w:rPr>
              <w:t>n</w:t>
            </w:r>
            <w:r w:rsidRPr="00981669">
              <w:rPr>
                <w:sz w:val="22"/>
                <w:szCs w:val="22"/>
                <w:lang w:val="en"/>
              </w:rPr>
              <w:t>gaged in pharmace</w:t>
            </w:r>
            <w:r w:rsidRPr="00981669">
              <w:rPr>
                <w:sz w:val="22"/>
                <w:szCs w:val="22"/>
                <w:lang w:val="en"/>
              </w:rPr>
              <w:t>u</w:t>
            </w:r>
            <w:r w:rsidRPr="00981669">
              <w:rPr>
                <w:sz w:val="22"/>
                <w:szCs w:val="22"/>
                <w:lang w:val="en"/>
              </w:rPr>
              <w:t>tical activities;</w:t>
            </w:r>
          </w:p>
          <w:p w14:paraId="0691F090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regulatory fram</w:t>
            </w:r>
            <w:r w:rsidRPr="00981669">
              <w:rPr>
                <w:sz w:val="22"/>
                <w:szCs w:val="22"/>
                <w:lang w:val="en"/>
              </w:rPr>
              <w:t>e</w:t>
            </w:r>
            <w:r w:rsidRPr="00981669">
              <w:rPr>
                <w:sz w:val="22"/>
                <w:szCs w:val="22"/>
                <w:lang w:val="en"/>
              </w:rPr>
              <w:t xml:space="preserve">work for the creation, </w:t>
            </w:r>
            <w:r w:rsidRPr="00981669">
              <w:rPr>
                <w:sz w:val="22"/>
                <w:szCs w:val="22"/>
                <w:lang w:val="en"/>
              </w:rPr>
              <w:lastRenderedPageBreak/>
              <w:t>reorganization and liquidation of corp</w:t>
            </w:r>
            <w:r w:rsidRPr="00981669">
              <w:rPr>
                <w:sz w:val="22"/>
                <w:szCs w:val="22"/>
                <w:lang w:val="en"/>
              </w:rPr>
              <w:t>o</w:t>
            </w:r>
            <w:r w:rsidRPr="00981669">
              <w:rPr>
                <w:sz w:val="22"/>
                <w:szCs w:val="22"/>
                <w:lang w:val="en"/>
              </w:rPr>
              <w:t>rations engaged in pharmaceutical acti</w:t>
            </w:r>
            <w:r w:rsidRPr="00981669">
              <w:rPr>
                <w:sz w:val="22"/>
                <w:szCs w:val="22"/>
                <w:lang w:val="en"/>
              </w:rPr>
              <w:t>v</w:t>
            </w:r>
            <w:r w:rsidRPr="00981669">
              <w:rPr>
                <w:sz w:val="22"/>
                <w:szCs w:val="22"/>
                <w:lang w:val="en"/>
              </w:rPr>
              <w:t>ities and other activ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ties related to the circulation of med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cines;</w:t>
            </w:r>
          </w:p>
          <w:p w14:paraId="27C678FD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norms of legisl</w:t>
            </w:r>
            <w:r w:rsidRPr="00981669">
              <w:rPr>
                <w:sz w:val="22"/>
                <w:szCs w:val="22"/>
                <w:lang w:val="en"/>
              </w:rPr>
              <w:t>a</w:t>
            </w:r>
            <w:r w:rsidRPr="00981669">
              <w:rPr>
                <w:sz w:val="22"/>
                <w:szCs w:val="22"/>
                <w:lang w:val="en"/>
              </w:rPr>
              <w:t>tion relating to state control and superv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sion in the field of pharmaceutical acti</w:t>
            </w:r>
            <w:r w:rsidRPr="00981669">
              <w:rPr>
                <w:sz w:val="22"/>
                <w:szCs w:val="22"/>
                <w:lang w:val="en"/>
              </w:rPr>
              <w:t>v</w:t>
            </w:r>
            <w:r w:rsidRPr="00981669">
              <w:rPr>
                <w:sz w:val="22"/>
                <w:szCs w:val="22"/>
                <w:lang w:val="en"/>
              </w:rPr>
              <w:t>ities and other activ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ties related to the circulation of med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cines;</w:t>
            </w:r>
          </w:p>
          <w:p w14:paraId="041C4FFD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procedure and r</w:t>
            </w:r>
            <w:r w:rsidRPr="00981669">
              <w:rPr>
                <w:sz w:val="22"/>
                <w:szCs w:val="22"/>
                <w:lang w:val="en"/>
              </w:rPr>
              <w:t>e</w:t>
            </w:r>
            <w:r w:rsidRPr="00981669">
              <w:rPr>
                <w:sz w:val="22"/>
                <w:szCs w:val="22"/>
                <w:lang w:val="en"/>
              </w:rPr>
              <w:t>quirements for the implementation of pharmaceutical acti</w:t>
            </w:r>
            <w:r w:rsidRPr="00981669">
              <w:rPr>
                <w:sz w:val="22"/>
                <w:szCs w:val="22"/>
                <w:lang w:val="en"/>
              </w:rPr>
              <w:t>v</w:t>
            </w:r>
            <w:r w:rsidRPr="00981669">
              <w:rPr>
                <w:sz w:val="22"/>
                <w:szCs w:val="22"/>
                <w:lang w:val="en"/>
              </w:rPr>
              <w:t>ities.</w:t>
            </w:r>
          </w:p>
          <w:p w14:paraId="4D355ABA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legal regime of property of subjects of pharmaceutical activity;</w:t>
            </w:r>
          </w:p>
          <w:p w14:paraId="12E665CB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the procedure for recognizing the i</w:t>
            </w:r>
            <w:r w:rsidRPr="00981669">
              <w:rPr>
                <w:sz w:val="22"/>
                <w:szCs w:val="22"/>
                <w:lang w:val="en"/>
              </w:rPr>
              <w:t>n</w:t>
            </w:r>
            <w:r w:rsidRPr="00981669">
              <w:rPr>
                <w:sz w:val="22"/>
                <w:szCs w:val="22"/>
                <w:lang w:val="en"/>
              </w:rPr>
              <w:t>solvency (bankrup</w:t>
            </w:r>
            <w:r w:rsidRPr="00981669">
              <w:rPr>
                <w:sz w:val="22"/>
                <w:szCs w:val="22"/>
                <w:lang w:val="en"/>
              </w:rPr>
              <w:t>t</w:t>
            </w:r>
            <w:r w:rsidRPr="00981669">
              <w:rPr>
                <w:sz w:val="22"/>
                <w:szCs w:val="22"/>
                <w:lang w:val="en"/>
              </w:rPr>
              <w:t>cy) of pharmaceut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cal entities;</w:t>
            </w:r>
          </w:p>
          <w:p w14:paraId="2BDBD684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fundamentals of antimonopoly regul</w:t>
            </w:r>
            <w:r w:rsidRPr="00981669">
              <w:rPr>
                <w:sz w:val="22"/>
                <w:szCs w:val="22"/>
                <w:lang w:val="en"/>
              </w:rPr>
              <w:t>a</w:t>
            </w:r>
            <w:r w:rsidRPr="00981669">
              <w:rPr>
                <w:sz w:val="22"/>
                <w:szCs w:val="22"/>
                <w:lang w:val="en"/>
              </w:rPr>
              <w:t>tion of pharmaceut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cal activities and other activities rela</w:t>
            </w:r>
            <w:r w:rsidRPr="00981669">
              <w:rPr>
                <w:sz w:val="22"/>
                <w:szCs w:val="22"/>
                <w:lang w:val="en"/>
              </w:rPr>
              <w:t>t</w:t>
            </w:r>
            <w:r w:rsidRPr="00981669">
              <w:rPr>
                <w:sz w:val="22"/>
                <w:szCs w:val="22"/>
                <w:lang w:val="en"/>
              </w:rPr>
              <w:t>ed to the circulation of medicines and medical devices;</w:t>
            </w:r>
          </w:p>
          <w:p w14:paraId="2BC16184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methods of legal protection of the rights and legitimate interests of subjects of pharmaceutical activity;</w:t>
            </w:r>
          </w:p>
          <w:p w14:paraId="34C6DD72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fundamentals of regulation of pha</w:t>
            </w:r>
            <w:r w:rsidRPr="00981669">
              <w:rPr>
                <w:sz w:val="22"/>
                <w:szCs w:val="22"/>
                <w:lang w:val="en"/>
              </w:rPr>
              <w:t>r</w:t>
            </w:r>
            <w:r w:rsidRPr="00981669">
              <w:rPr>
                <w:sz w:val="22"/>
                <w:szCs w:val="22"/>
                <w:lang w:val="en"/>
              </w:rPr>
              <w:t>maceutical activities and other activities related to the circul</w:t>
            </w:r>
            <w:r w:rsidRPr="00981669">
              <w:rPr>
                <w:sz w:val="22"/>
                <w:szCs w:val="22"/>
                <w:lang w:val="en"/>
              </w:rPr>
              <w:t>a</w:t>
            </w:r>
            <w:r w:rsidRPr="00981669">
              <w:rPr>
                <w:sz w:val="22"/>
                <w:szCs w:val="22"/>
                <w:lang w:val="en"/>
              </w:rPr>
              <w:t>tion of medicines and medical devices within the EAEU;</w:t>
            </w:r>
          </w:p>
          <w:p w14:paraId="32E3B205" w14:textId="7B33D9FD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"/>
              </w:rPr>
              <w:t>m</w:t>
            </w:r>
            <w:r w:rsidRPr="00981669">
              <w:rPr>
                <w:sz w:val="22"/>
                <w:szCs w:val="22"/>
                <w:lang w:val="en"/>
              </w:rPr>
              <w:t>odern info</w:t>
            </w:r>
            <w:r w:rsidRPr="00981669">
              <w:rPr>
                <w:sz w:val="22"/>
                <w:szCs w:val="22"/>
                <w:lang w:val="en"/>
              </w:rPr>
              <w:t>r</w:t>
            </w:r>
            <w:r w:rsidRPr="00981669">
              <w:rPr>
                <w:sz w:val="22"/>
                <w:szCs w:val="22"/>
                <w:lang w:val="en"/>
              </w:rPr>
              <w:t>mation technologies for solving problems of professional acti</w:t>
            </w:r>
            <w:r w:rsidRPr="00981669">
              <w:rPr>
                <w:sz w:val="22"/>
                <w:szCs w:val="22"/>
                <w:lang w:val="en"/>
              </w:rPr>
              <w:t>v</w:t>
            </w:r>
            <w:r w:rsidRPr="00981669">
              <w:rPr>
                <w:sz w:val="22"/>
                <w:szCs w:val="22"/>
                <w:lang w:val="en"/>
              </w:rPr>
              <w:lastRenderedPageBreak/>
              <w:t>ity</w:t>
            </w:r>
            <w:r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1701" w:type="dxa"/>
          </w:tcPr>
          <w:p w14:paraId="66ADB6F3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lastRenderedPageBreak/>
              <w:t>organize the creation, reo</w:t>
            </w:r>
            <w:r w:rsidRPr="00981669">
              <w:rPr>
                <w:sz w:val="22"/>
                <w:szCs w:val="22"/>
                <w:lang w:val="en"/>
              </w:rPr>
              <w:t>r</w:t>
            </w:r>
            <w:r w:rsidRPr="00981669">
              <w:rPr>
                <w:sz w:val="22"/>
                <w:szCs w:val="22"/>
                <w:lang w:val="en"/>
              </w:rPr>
              <w:t>ganization, li</w:t>
            </w:r>
            <w:r w:rsidRPr="00981669">
              <w:rPr>
                <w:sz w:val="22"/>
                <w:szCs w:val="22"/>
                <w:lang w:val="en"/>
              </w:rPr>
              <w:t>q</w:t>
            </w:r>
            <w:r w:rsidRPr="00981669">
              <w:rPr>
                <w:sz w:val="22"/>
                <w:szCs w:val="22"/>
                <w:lang w:val="en"/>
              </w:rPr>
              <w:t>uidation of pharmaceutical entities;</w:t>
            </w:r>
          </w:p>
          <w:p w14:paraId="315083AF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carry out types of work or services const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tuting pharm</w:t>
            </w:r>
            <w:r w:rsidRPr="00981669">
              <w:rPr>
                <w:sz w:val="22"/>
                <w:szCs w:val="22"/>
                <w:lang w:val="en"/>
              </w:rPr>
              <w:t>a</w:t>
            </w:r>
            <w:r w:rsidRPr="00981669">
              <w:rPr>
                <w:sz w:val="22"/>
                <w:szCs w:val="22"/>
                <w:lang w:val="en"/>
              </w:rPr>
              <w:t>ceutical activ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ties, and activ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ties in the field of circulation of medicines in compliance with the requirements of the legislation of the Russian Federation in the field of health prote</w:t>
            </w:r>
            <w:r w:rsidRPr="00981669">
              <w:rPr>
                <w:sz w:val="22"/>
                <w:szCs w:val="22"/>
                <w:lang w:val="en"/>
              </w:rPr>
              <w:t>c</w:t>
            </w:r>
            <w:r w:rsidRPr="00981669">
              <w:rPr>
                <w:sz w:val="22"/>
                <w:szCs w:val="22"/>
                <w:lang w:val="en"/>
              </w:rPr>
              <w:t>tion;</w:t>
            </w:r>
          </w:p>
          <w:p w14:paraId="78D8B0A1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use modern information technologies in solving pro</w:t>
            </w:r>
            <w:r w:rsidRPr="00981669">
              <w:rPr>
                <w:sz w:val="22"/>
                <w:szCs w:val="22"/>
                <w:lang w:val="en"/>
              </w:rPr>
              <w:t>b</w:t>
            </w:r>
            <w:r w:rsidRPr="00981669">
              <w:rPr>
                <w:sz w:val="22"/>
                <w:szCs w:val="22"/>
                <w:lang w:val="en"/>
              </w:rPr>
              <w:t>lems of profe</w:t>
            </w:r>
            <w:r w:rsidRPr="00981669">
              <w:rPr>
                <w:sz w:val="22"/>
                <w:szCs w:val="22"/>
                <w:lang w:val="en"/>
              </w:rPr>
              <w:t>s</w:t>
            </w:r>
            <w:r w:rsidRPr="00981669">
              <w:rPr>
                <w:sz w:val="22"/>
                <w:szCs w:val="22"/>
                <w:lang w:val="en"/>
              </w:rPr>
              <w:t>sional activity.</w:t>
            </w:r>
          </w:p>
          <w:p w14:paraId="64313711" w14:textId="2BB1FFC3" w:rsidR="00463D14" w:rsidRPr="0009128F" w:rsidRDefault="00463D14" w:rsidP="00463D14">
            <w:pPr>
              <w:widowControl w:val="0"/>
              <w:tabs>
                <w:tab w:val="left" w:pos="221"/>
              </w:tabs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937" w:type="dxa"/>
          </w:tcPr>
          <w:p w14:paraId="37B8692C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regulatory and legal document</w:t>
            </w:r>
            <w:r w:rsidRPr="00981669">
              <w:rPr>
                <w:sz w:val="22"/>
                <w:szCs w:val="22"/>
                <w:lang w:val="en"/>
              </w:rPr>
              <w:t>a</w:t>
            </w:r>
            <w:r w:rsidRPr="00981669">
              <w:rPr>
                <w:sz w:val="22"/>
                <w:szCs w:val="22"/>
                <w:lang w:val="en"/>
              </w:rPr>
              <w:t>tion regulating the procedure for the creation, reorgan</w:t>
            </w:r>
            <w:r w:rsidRPr="00981669">
              <w:rPr>
                <w:sz w:val="22"/>
                <w:szCs w:val="22"/>
                <w:lang w:val="en"/>
              </w:rPr>
              <w:t>i</w:t>
            </w:r>
            <w:r w:rsidRPr="00981669">
              <w:rPr>
                <w:sz w:val="22"/>
                <w:szCs w:val="22"/>
                <w:lang w:val="en"/>
              </w:rPr>
              <w:t>zation, liquidation of pharmaceutical entities;</w:t>
            </w:r>
          </w:p>
          <w:p w14:paraId="38A78D02" w14:textId="77777777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regulatory do</w:t>
            </w:r>
            <w:r w:rsidRPr="00981669">
              <w:rPr>
                <w:sz w:val="22"/>
                <w:szCs w:val="22"/>
                <w:lang w:val="en"/>
              </w:rPr>
              <w:t>c</w:t>
            </w:r>
            <w:r w:rsidRPr="00981669">
              <w:rPr>
                <w:sz w:val="22"/>
                <w:szCs w:val="22"/>
                <w:lang w:val="en"/>
              </w:rPr>
              <w:t>umentation reg</w:t>
            </w:r>
            <w:r w:rsidRPr="00981669">
              <w:rPr>
                <w:sz w:val="22"/>
                <w:szCs w:val="22"/>
                <w:lang w:val="en"/>
              </w:rPr>
              <w:t>u</w:t>
            </w:r>
            <w:r w:rsidRPr="00981669">
              <w:rPr>
                <w:sz w:val="22"/>
                <w:szCs w:val="22"/>
                <w:lang w:val="en"/>
              </w:rPr>
              <w:t>lating the proc</w:t>
            </w:r>
            <w:r w:rsidRPr="00981669">
              <w:rPr>
                <w:sz w:val="22"/>
                <w:szCs w:val="22"/>
                <w:lang w:val="en"/>
              </w:rPr>
              <w:t>e</w:t>
            </w:r>
            <w:r w:rsidRPr="00981669">
              <w:rPr>
                <w:sz w:val="22"/>
                <w:szCs w:val="22"/>
                <w:lang w:val="en"/>
              </w:rPr>
              <w:t>dure for carrying out pharmaceutical activities and a</w:t>
            </w:r>
            <w:r w:rsidRPr="00981669">
              <w:rPr>
                <w:sz w:val="22"/>
                <w:szCs w:val="22"/>
                <w:lang w:val="en"/>
              </w:rPr>
              <w:t>c</w:t>
            </w:r>
            <w:r w:rsidRPr="00981669">
              <w:rPr>
                <w:sz w:val="22"/>
                <w:szCs w:val="22"/>
                <w:lang w:val="en"/>
              </w:rPr>
              <w:t>tivities in the field of circulation of medicines</w:t>
            </w:r>
          </w:p>
          <w:p w14:paraId="43983626" w14:textId="0ED95F45" w:rsidR="00463D14" w:rsidRPr="0009128F" w:rsidRDefault="00463D14" w:rsidP="00463D14">
            <w:pPr>
              <w:widowControl w:val="0"/>
              <w:numPr>
                <w:ilvl w:val="0"/>
                <w:numId w:val="6"/>
              </w:numPr>
              <w:tabs>
                <w:tab w:val="left" w:pos="221"/>
                <w:tab w:val="right" w:leader="underscore" w:pos="9639"/>
              </w:tabs>
              <w:ind w:left="0" w:firstLine="0"/>
              <w:rPr>
                <w:rFonts w:cs="Times New Roman"/>
                <w:sz w:val="22"/>
                <w:szCs w:val="22"/>
                <w:lang w:val="en-US"/>
              </w:rPr>
            </w:pPr>
            <w:r w:rsidRPr="00981669">
              <w:rPr>
                <w:sz w:val="22"/>
                <w:szCs w:val="22"/>
                <w:lang w:val="en"/>
              </w:rPr>
              <w:t>regulatory and legal reference sy</w:t>
            </w:r>
            <w:r w:rsidRPr="00981669">
              <w:rPr>
                <w:sz w:val="22"/>
                <w:szCs w:val="22"/>
                <w:lang w:val="en"/>
              </w:rPr>
              <w:t>s</w:t>
            </w:r>
            <w:r w:rsidRPr="00981669">
              <w:rPr>
                <w:sz w:val="22"/>
                <w:szCs w:val="22"/>
                <w:lang w:val="en"/>
              </w:rPr>
              <w:t>tems, as well as professional dat</w:t>
            </w:r>
            <w:r w:rsidRPr="00981669">
              <w:rPr>
                <w:sz w:val="22"/>
                <w:szCs w:val="22"/>
                <w:lang w:val="en"/>
              </w:rPr>
              <w:t>a</w:t>
            </w:r>
            <w:r w:rsidRPr="00981669">
              <w:rPr>
                <w:sz w:val="22"/>
                <w:szCs w:val="22"/>
                <w:lang w:val="en"/>
              </w:rPr>
              <w:t>bases for solving problems of pr</w:t>
            </w:r>
            <w:r w:rsidRPr="00981669">
              <w:rPr>
                <w:sz w:val="22"/>
                <w:szCs w:val="22"/>
                <w:lang w:val="en"/>
              </w:rPr>
              <w:t>o</w:t>
            </w:r>
            <w:r w:rsidRPr="00981669">
              <w:rPr>
                <w:sz w:val="22"/>
                <w:szCs w:val="22"/>
                <w:lang w:val="en"/>
              </w:rPr>
              <w:t>fessional activity</w:t>
            </w:r>
          </w:p>
        </w:tc>
      </w:tr>
    </w:tbl>
    <w:p w14:paraId="3C60E790" w14:textId="77777777" w:rsidR="00F30A30" w:rsidRPr="0009128F" w:rsidRDefault="00F30A30" w:rsidP="00F30A30">
      <w:pPr>
        <w:widowControl w:val="0"/>
        <w:ind w:firstLine="709"/>
        <w:jc w:val="both"/>
        <w:rPr>
          <w:rFonts w:cs="Times New Roman"/>
          <w:bCs/>
          <w:szCs w:val="28"/>
          <w:lang w:val="en-US"/>
        </w:rPr>
      </w:pPr>
    </w:p>
    <w:p w14:paraId="6CA048D1" w14:textId="07996126" w:rsidR="00F30A30" w:rsidRPr="0009128F" w:rsidRDefault="00F30A30" w:rsidP="00F30A30">
      <w:pPr>
        <w:widowControl w:val="0"/>
        <w:ind w:firstLine="709"/>
        <w:jc w:val="both"/>
        <w:rPr>
          <w:rFonts w:cs="Times New Roman"/>
          <w:b/>
          <w:sz w:val="24"/>
          <w:szCs w:val="24"/>
          <w:lang w:val="en-US"/>
        </w:rPr>
      </w:pPr>
      <w:r>
        <w:rPr>
          <w:b/>
          <w:sz w:val="24"/>
          <w:szCs w:val="24"/>
          <w:lang w:val="en"/>
        </w:rPr>
        <w:t>4</w:t>
      </w:r>
      <w:r w:rsidRPr="00FA5B7F">
        <w:rPr>
          <w:b/>
          <w:sz w:val="24"/>
          <w:szCs w:val="24"/>
          <w:lang w:val="en"/>
        </w:rPr>
        <w:t xml:space="preserve">. </w:t>
      </w:r>
      <w:r w:rsidRPr="00356B65">
        <w:rPr>
          <w:b/>
          <w:sz w:val="24"/>
          <w:szCs w:val="18"/>
          <w:lang w:val="en"/>
        </w:rPr>
        <w:t>Volume of the academic discipline and types of academic work</w:t>
      </w:r>
      <w:r w:rsidRPr="00FA5B7F">
        <w:rPr>
          <w:b/>
          <w:sz w:val="24"/>
          <w:szCs w:val="24"/>
          <w:lang w:val="en"/>
        </w:rPr>
        <w:t>.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1984"/>
        <w:gridCol w:w="2020"/>
        <w:gridCol w:w="2056"/>
        <w:gridCol w:w="7"/>
      </w:tblGrid>
      <w:tr w:rsidR="00F30A30" w:rsidRPr="00F30A30" w14:paraId="0E84621A" w14:textId="77777777" w:rsidTr="00F30A30">
        <w:trPr>
          <w:gridAfter w:val="1"/>
          <w:wAfter w:w="7" w:type="dxa"/>
          <w:jc w:val="center"/>
        </w:trPr>
        <w:tc>
          <w:tcPr>
            <w:tcW w:w="3681" w:type="dxa"/>
            <w:vMerge w:val="restart"/>
            <w:vAlign w:val="center"/>
          </w:tcPr>
          <w:p w14:paraId="5C165B08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8350D">
              <w:rPr>
                <w:bCs/>
                <w:sz w:val="24"/>
                <w:szCs w:val="24"/>
                <w:lang w:val="en"/>
              </w:rPr>
              <w:t>Type of educational work</w:t>
            </w:r>
          </w:p>
        </w:tc>
        <w:tc>
          <w:tcPr>
            <w:tcW w:w="4004" w:type="dxa"/>
            <w:gridSpan w:val="2"/>
            <w:vAlign w:val="center"/>
          </w:tcPr>
          <w:p w14:paraId="60AF2B54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6B65">
              <w:rPr>
                <w:bCs/>
                <w:sz w:val="24"/>
                <w:szCs w:val="24"/>
                <w:lang w:val="en"/>
              </w:rPr>
              <w:t>Labor intensity</w:t>
            </w:r>
          </w:p>
        </w:tc>
        <w:tc>
          <w:tcPr>
            <w:tcW w:w="2056" w:type="dxa"/>
            <w:vMerge w:val="restart"/>
            <w:vAlign w:val="center"/>
          </w:tcPr>
          <w:p w14:paraId="3B1E2529" w14:textId="77777777" w:rsidR="00F30A30" w:rsidRPr="0009128F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B8350D">
              <w:rPr>
                <w:bCs/>
                <w:sz w:val="24"/>
                <w:szCs w:val="24"/>
                <w:lang w:val="en"/>
              </w:rPr>
              <w:t xml:space="preserve">Labor intensity </w:t>
            </w:r>
            <w:r>
              <w:rPr>
                <w:bCs/>
                <w:sz w:val="24"/>
                <w:szCs w:val="24"/>
                <w:lang w:val="en"/>
              </w:rPr>
              <w:t>in</w:t>
            </w:r>
            <w:r w:rsidRPr="00B8350D">
              <w:rPr>
                <w:bCs/>
                <w:sz w:val="24"/>
                <w:szCs w:val="24"/>
                <w:lang w:val="en"/>
              </w:rPr>
              <w:t xml:space="preserve"> semester</w:t>
            </w:r>
            <w:r>
              <w:rPr>
                <w:bCs/>
                <w:sz w:val="24"/>
                <w:szCs w:val="24"/>
                <w:lang w:val="en"/>
              </w:rPr>
              <w:t>s</w:t>
            </w:r>
            <w:r w:rsidRPr="00B8350D">
              <w:rPr>
                <w:bCs/>
                <w:sz w:val="24"/>
                <w:szCs w:val="24"/>
                <w:lang w:val="en"/>
              </w:rPr>
              <w:t xml:space="preserve"> (AH)</w:t>
            </w:r>
          </w:p>
        </w:tc>
      </w:tr>
      <w:tr w:rsidR="00F30A30" w:rsidRPr="00F30A30" w14:paraId="4519E514" w14:textId="77777777" w:rsidTr="00F30A30">
        <w:trPr>
          <w:gridAfter w:val="1"/>
          <w:wAfter w:w="7" w:type="dxa"/>
          <w:trHeight w:val="276"/>
          <w:jc w:val="center"/>
        </w:trPr>
        <w:tc>
          <w:tcPr>
            <w:tcW w:w="3681" w:type="dxa"/>
            <w:vMerge/>
          </w:tcPr>
          <w:p w14:paraId="07B42883" w14:textId="77777777" w:rsidR="00F30A30" w:rsidRPr="0009128F" w:rsidRDefault="00F30A30" w:rsidP="0096663A">
            <w:pPr>
              <w:widowControl w:val="0"/>
              <w:tabs>
                <w:tab w:val="right" w:leader="underscore" w:pos="9639"/>
              </w:tabs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82CB62" w14:textId="77777777" w:rsidR="00F30A30" w:rsidRPr="0009128F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B8350D">
              <w:rPr>
                <w:bCs/>
                <w:sz w:val="24"/>
                <w:szCs w:val="24"/>
                <w:lang w:val="en"/>
              </w:rPr>
              <w:t>volume in credit units (</w:t>
            </w:r>
            <w:r>
              <w:rPr>
                <w:bCs/>
                <w:sz w:val="24"/>
                <w:szCs w:val="24"/>
                <w:lang w:val="en"/>
              </w:rPr>
              <w:t>CU</w:t>
            </w:r>
            <w:r w:rsidRPr="00B8350D">
              <w:rPr>
                <w:bCs/>
                <w:sz w:val="24"/>
                <w:szCs w:val="24"/>
                <w:lang w:val="en"/>
              </w:rPr>
              <w:t>)</w:t>
            </w:r>
          </w:p>
        </w:tc>
        <w:tc>
          <w:tcPr>
            <w:tcW w:w="2020" w:type="dxa"/>
            <w:vMerge w:val="restart"/>
            <w:vAlign w:val="center"/>
          </w:tcPr>
          <w:p w14:paraId="25C1455F" w14:textId="77777777" w:rsidR="00F30A30" w:rsidRPr="0009128F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B8350D">
              <w:rPr>
                <w:bCs/>
                <w:sz w:val="24"/>
                <w:szCs w:val="24"/>
                <w:lang w:val="en"/>
              </w:rPr>
              <w:t>volume in ac</w:t>
            </w:r>
            <w:r w:rsidRPr="00B8350D">
              <w:rPr>
                <w:bCs/>
                <w:sz w:val="24"/>
                <w:szCs w:val="24"/>
                <w:lang w:val="en"/>
              </w:rPr>
              <w:t>a</w:t>
            </w:r>
            <w:r w:rsidRPr="00B8350D">
              <w:rPr>
                <w:bCs/>
                <w:sz w:val="24"/>
                <w:szCs w:val="24"/>
                <w:lang w:val="en"/>
              </w:rPr>
              <w:t>demic hours (AH)</w:t>
            </w:r>
          </w:p>
        </w:tc>
        <w:tc>
          <w:tcPr>
            <w:tcW w:w="2056" w:type="dxa"/>
            <w:vMerge/>
          </w:tcPr>
          <w:p w14:paraId="028F0E07" w14:textId="77777777" w:rsidR="00F30A30" w:rsidRPr="0009128F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30A30" w:rsidRPr="00B8350D" w14:paraId="58A77A14" w14:textId="77777777" w:rsidTr="00F30A30">
        <w:trPr>
          <w:gridAfter w:val="1"/>
          <w:wAfter w:w="7" w:type="dxa"/>
          <w:trHeight w:val="63"/>
          <w:jc w:val="center"/>
        </w:trPr>
        <w:tc>
          <w:tcPr>
            <w:tcW w:w="3681" w:type="dxa"/>
            <w:vMerge/>
          </w:tcPr>
          <w:p w14:paraId="0D761580" w14:textId="77777777" w:rsidR="00F30A30" w:rsidRPr="0009128F" w:rsidRDefault="00F30A30" w:rsidP="0096663A">
            <w:pPr>
              <w:widowControl w:val="0"/>
              <w:tabs>
                <w:tab w:val="right" w:leader="underscore" w:pos="9639"/>
              </w:tabs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14:paraId="062382D4" w14:textId="77777777" w:rsidR="00F30A30" w:rsidRPr="0009128F" w:rsidRDefault="00F30A30" w:rsidP="0096663A">
            <w:pPr>
              <w:widowControl w:val="0"/>
              <w:tabs>
                <w:tab w:val="right" w:leader="underscore" w:pos="9639"/>
              </w:tabs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vMerge/>
          </w:tcPr>
          <w:p w14:paraId="1B5EC2C1" w14:textId="77777777" w:rsidR="00F30A30" w:rsidRPr="0009128F" w:rsidRDefault="00F30A30" w:rsidP="0096663A">
            <w:pPr>
              <w:widowControl w:val="0"/>
              <w:tabs>
                <w:tab w:val="right" w:leader="underscore" w:pos="9639"/>
              </w:tabs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</w:tcPr>
          <w:p w14:paraId="1D622162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8</w:t>
            </w:r>
          </w:p>
        </w:tc>
      </w:tr>
      <w:tr w:rsidR="00F30A30" w:rsidRPr="00B8350D" w14:paraId="5F134834" w14:textId="77777777" w:rsidTr="00F30A30">
        <w:trPr>
          <w:gridAfter w:val="1"/>
          <w:wAfter w:w="7" w:type="dxa"/>
          <w:jc w:val="center"/>
        </w:trPr>
        <w:tc>
          <w:tcPr>
            <w:tcW w:w="3681" w:type="dxa"/>
          </w:tcPr>
          <w:p w14:paraId="2C032410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Classroom work, including</w:t>
            </w:r>
          </w:p>
        </w:tc>
        <w:tc>
          <w:tcPr>
            <w:tcW w:w="1984" w:type="dxa"/>
          </w:tcPr>
          <w:p w14:paraId="0F8B48A4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1,22</w:t>
            </w:r>
          </w:p>
        </w:tc>
        <w:tc>
          <w:tcPr>
            <w:tcW w:w="2020" w:type="dxa"/>
          </w:tcPr>
          <w:p w14:paraId="6D6E7259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44</w:t>
            </w:r>
          </w:p>
        </w:tc>
        <w:tc>
          <w:tcPr>
            <w:tcW w:w="2056" w:type="dxa"/>
          </w:tcPr>
          <w:p w14:paraId="4125B811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44</w:t>
            </w:r>
          </w:p>
        </w:tc>
      </w:tr>
      <w:tr w:rsidR="00F30A30" w:rsidRPr="00B8350D" w14:paraId="28355248" w14:textId="77777777" w:rsidTr="00F30A30">
        <w:trPr>
          <w:gridAfter w:val="1"/>
          <w:wAfter w:w="7" w:type="dxa"/>
          <w:jc w:val="center"/>
        </w:trPr>
        <w:tc>
          <w:tcPr>
            <w:tcW w:w="3681" w:type="dxa"/>
          </w:tcPr>
          <w:p w14:paraId="01C5DF8A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ind w:left="16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Lectures (L)</w:t>
            </w:r>
          </w:p>
        </w:tc>
        <w:tc>
          <w:tcPr>
            <w:tcW w:w="1984" w:type="dxa"/>
          </w:tcPr>
          <w:p w14:paraId="1F1D7326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0,28</w:t>
            </w:r>
          </w:p>
        </w:tc>
        <w:tc>
          <w:tcPr>
            <w:tcW w:w="2020" w:type="dxa"/>
          </w:tcPr>
          <w:p w14:paraId="47D72D42" w14:textId="77777777" w:rsidR="00F30A30" w:rsidRPr="00B8350D" w:rsidRDefault="00F30A30" w:rsidP="0096663A">
            <w:pPr>
              <w:widowControl w:val="0"/>
              <w:tabs>
                <w:tab w:val="left" w:pos="380"/>
                <w:tab w:val="center" w:pos="530"/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10</w:t>
            </w:r>
          </w:p>
        </w:tc>
        <w:tc>
          <w:tcPr>
            <w:tcW w:w="2056" w:type="dxa"/>
          </w:tcPr>
          <w:p w14:paraId="24F00D27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10</w:t>
            </w:r>
          </w:p>
        </w:tc>
      </w:tr>
      <w:tr w:rsidR="00F30A30" w:rsidRPr="00F30A30" w14:paraId="65187FB9" w14:textId="77777777" w:rsidTr="00F30A30">
        <w:trPr>
          <w:jc w:val="center"/>
        </w:trPr>
        <w:tc>
          <w:tcPr>
            <w:tcW w:w="3681" w:type="dxa"/>
          </w:tcPr>
          <w:p w14:paraId="20A26814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ind w:left="16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Laboratory practicum (LP)*</w:t>
            </w:r>
          </w:p>
        </w:tc>
        <w:tc>
          <w:tcPr>
            <w:tcW w:w="6067" w:type="dxa"/>
            <w:gridSpan w:val="4"/>
          </w:tcPr>
          <w:p w14:paraId="117F8B87" w14:textId="77777777" w:rsidR="00F30A30" w:rsidRPr="00356B65" w:rsidRDefault="00F30A30" w:rsidP="0096663A">
            <w:pPr>
              <w:widowControl w:val="0"/>
              <w:tabs>
                <w:tab w:val="right" w:leader="underscore" w:pos="9639"/>
              </w:tabs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356B65">
              <w:rPr>
                <w:bCs/>
                <w:sz w:val="24"/>
                <w:szCs w:val="24"/>
                <w:lang w:val="en"/>
              </w:rPr>
              <w:t>Laboratory practicums are not stipulated</w:t>
            </w:r>
          </w:p>
        </w:tc>
      </w:tr>
      <w:tr w:rsidR="00F30A30" w:rsidRPr="00B8350D" w14:paraId="53DE8766" w14:textId="77777777" w:rsidTr="00F30A30">
        <w:trPr>
          <w:gridAfter w:val="1"/>
          <w:wAfter w:w="7" w:type="dxa"/>
          <w:jc w:val="center"/>
        </w:trPr>
        <w:tc>
          <w:tcPr>
            <w:tcW w:w="3681" w:type="dxa"/>
          </w:tcPr>
          <w:p w14:paraId="77E8D98F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ind w:left="16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</w:t>
            </w:r>
            <w:proofErr w:type="spellStart"/>
            <w:r w:rsidRPr="00E3528D">
              <w:rPr>
                <w:sz w:val="24"/>
                <w:szCs w:val="24"/>
                <w:lang w:val="en"/>
              </w:rPr>
              <w:t>Practicals</w:t>
            </w:r>
            <w:proofErr w:type="spellEnd"/>
            <w:r w:rsidRPr="00E3528D">
              <w:rPr>
                <w:sz w:val="24"/>
                <w:szCs w:val="24"/>
                <w:lang w:val="en"/>
              </w:rPr>
              <w:t xml:space="preserve"> (P)</w:t>
            </w:r>
          </w:p>
        </w:tc>
        <w:tc>
          <w:tcPr>
            <w:tcW w:w="1984" w:type="dxa"/>
          </w:tcPr>
          <w:p w14:paraId="3AEF3EBB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0,94</w:t>
            </w:r>
          </w:p>
        </w:tc>
        <w:tc>
          <w:tcPr>
            <w:tcW w:w="2020" w:type="dxa"/>
          </w:tcPr>
          <w:p w14:paraId="07466879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34</w:t>
            </w:r>
          </w:p>
        </w:tc>
        <w:tc>
          <w:tcPr>
            <w:tcW w:w="2056" w:type="dxa"/>
          </w:tcPr>
          <w:p w14:paraId="3322A9F2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34</w:t>
            </w:r>
          </w:p>
        </w:tc>
      </w:tr>
      <w:tr w:rsidR="00F30A30" w:rsidRPr="00B8350D" w14:paraId="6D3AFDF0" w14:textId="77777777" w:rsidTr="00F30A30">
        <w:trPr>
          <w:jc w:val="center"/>
        </w:trPr>
        <w:tc>
          <w:tcPr>
            <w:tcW w:w="3681" w:type="dxa"/>
          </w:tcPr>
          <w:p w14:paraId="1AFD2FC5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ind w:left="16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Seminars (S)</w:t>
            </w:r>
          </w:p>
        </w:tc>
        <w:tc>
          <w:tcPr>
            <w:tcW w:w="6067" w:type="dxa"/>
            <w:gridSpan w:val="4"/>
          </w:tcPr>
          <w:p w14:paraId="7E1E58A0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356B65">
              <w:rPr>
                <w:bCs/>
                <w:sz w:val="24"/>
                <w:szCs w:val="24"/>
                <w:lang w:val="en"/>
              </w:rPr>
              <w:t>Seminars are not stipulated</w:t>
            </w:r>
          </w:p>
        </w:tc>
      </w:tr>
      <w:tr w:rsidR="00F30A30" w:rsidRPr="00B8350D" w14:paraId="36747E36" w14:textId="77777777" w:rsidTr="00F30A30">
        <w:trPr>
          <w:gridAfter w:val="1"/>
          <w:wAfter w:w="7" w:type="dxa"/>
          <w:jc w:val="center"/>
        </w:trPr>
        <w:tc>
          <w:tcPr>
            <w:tcW w:w="3681" w:type="dxa"/>
          </w:tcPr>
          <w:p w14:paraId="0B2CDE4C" w14:textId="77777777" w:rsidR="00F30A30" w:rsidRPr="0009128F" w:rsidRDefault="00F30A30" w:rsidP="0096663A">
            <w:pPr>
              <w:widowControl w:val="0"/>
              <w:tabs>
                <w:tab w:val="right" w:leader="underscore" w:pos="9639"/>
              </w:tabs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Student’s individual work (SIW)</w:t>
            </w:r>
          </w:p>
        </w:tc>
        <w:tc>
          <w:tcPr>
            <w:tcW w:w="1984" w:type="dxa"/>
          </w:tcPr>
          <w:p w14:paraId="5358B1B2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0,78</w:t>
            </w:r>
          </w:p>
        </w:tc>
        <w:tc>
          <w:tcPr>
            <w:tcW w:w="2020" w:type="dxa"/>
          </w:tcPr>
          <w:p w14:paraId="0CA5DA53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28</w:t>
            </w:r>
          </w:p>
        </w:tc>
        <w:tc>
          <w:tcPr>
            <w:tcW w:w="2056" w:type="dxa"/>
          </w:tcPr>
          <w:p w14:paraId="51B561C4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lang w:val="en"/>
              </w:rPr>
              <w:t>28</w:t>
            </w:r>
          </w:p>
        </w:tc>
      </w:tr>
      <w:tr w:rsidR="00F30A30" w:rsidRPr="00B8350D" w14:paraId="27E1CDFE" w14:textId="77777777" w:rsidTr="00F30A30">
        <w:trPr>
          <w:gridAfter w:val="1"/>
          <w:wAfter w:w="7" w:type="dxa"/>
          <w:jc w:val="center"/>
        </w:trPr>
        <w:tc>
          <w:tcPr>
            <w:tcW w:w="3681" w:type="dxa"/>
          </w:tcPr>
          <w:p w14:paraId="2E1AA793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Mid-term assessment</w:t>
            </w:r>
            <w:r>
              <w:rPr>
                <w:sz w:val="24"/>
                <w:szCs w:val="24"/>
                <w:lang w:val="en"/>
              </w:rPr>
              <w:t>: credit</w:t>
            </w:r>
          </w:p>
        </w:tc>
        <w:tc>
          <w:tcPr>
            <w:tcW w:w="1984" w:type="dxa"/>
          </w:tcPr>
          <w:p w14:paraId="4F9B7098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193B47EB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1242CDE7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30A30" w:rsidRPr="00B8350D" w14:paraId="62D919A7" w14:textId="77777777" w:rsidTr="00F30A30">
        <w:trPr>
          <w:gridAfter w:val="1"/>
          <w:wAfter w:w="7" w:type="dxa"/>
          <w:jc w:val="center"/>
        </w:trPr>
        <w:tc>
          <w:tcPr>
            <w:tcW w:w="3681" w:type="dxa"/>
          </w:tcPr>
          <w:p w14:paraId="1CA85028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51AED">
              <w:rPr>
                <w:bCs/>
                <w:sz w:val="24"/>
                <w:szCs w:val="24"/>
                <w:lang w:val="en"/>
              </w:rPr>
              <w:t>TOTAL LABOR INTENSITY</w:t>
            </w:r>
          </w:p>
        </w:tc>
        <w:tc>
          <w:tcPr>
            <w:tcW w:w="1984" w:type="dxa"/>
          </w:tcPr>
          <w:p w14:paraId="0017E1EE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2</w:t>
            </w:r>
          </w:p>
        </w:tc>
        <w:tc>
          <w:tcPr>
            <w:tcW w:w="2020" w:type="dxa"/>
          </w:tcPr>
          <w:p w14:paraId="2F43214F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72</w:t>
            </w:r>
          </w:p>
        </w:tc>
        <w:tc>
          <w:tcPr>
            <w:tcW w:w="2056" w:type="dxa"/>
          </w:tcPr>
          <w:p w14:paraId="3D618FDE" w14:textId="77777777" w:rsidR="00F30A30" w:rsidRPr="00B8350D" w:rsidRDefault="00F30A30" w:rsidP="0096663A">
            <w:pPr>
              <w:widowControl w:val="0"/>
              <w:tabs>
                <w:tab w:val="right" w:leader="underscore" w:pos="9639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72</w:t>
            </w:r>
          </w:p>
        </w:tc>
      </w:tr>
    </w:tbl>
    <w:p w14:paraId="3DBA0BFC" w14:textId="223093F9" w:rsidR="00F30A30" w:rsidRDefault="00F30A30" w:rsidP="00F30A30">
      <w:pPr>
        <w:tabs>
          <w:tab w:val="right" w:leader="underscore" w:pos="9639"/>
        </w:tabs>
        <w:ind w:firstLine="567"/>
        <w:jc w:val="both"/>
        <w:rPr>
          <w:bCs/>
        </w:rPr>
      </w:pPr>
    </w:p>
    <w:p w14:paraId="767275CF" w14:textId="0FAC21FD" w:rsidR="00F30A30" w:rsidRPr="0009128F" w:rsidRDefault="00F30A30" w:rsidP="00F30A30">
      <w:pPr>
        <w:widowControl w:val="0"/>
        <w:ind w:firstLine="567"/>
        <w:jc w:val="both"/>
        <w:rPr>
          <w:rFonts w:cs="Times New Roman"/>
          <w:b/>
          <w:sz w:val="24"/>
          <w:szCs w:val="24"/>
          <w:lang w:val="en-US"/>
        </w:rPr>
      </w:pPr>
      <w:r>
        <w:rPr>
          <w:b/>
          <w:sz w:val="24"/>
          <w:szCs w:val="24"/>
          <w:lang w:val="en"/>
        </w:rPr>
        <w:t>5</w:t>
      </w:r>
      <w:r w:rsidRPr="00FA5B7F">
        <w:rPr>
          <w:b/>
          <w:sz w:val="24"/>
          <w:szCs w:val="24"/>
          <w:lang w:val="en"/>
        </w:rPr>
        <w:t xml:space="preserve">. </w:t>
      </w:r>
      <w:r w:rsidRPr="00356B65">
        <w:rPr>
          <w:b/>
          <w:sz w:val="24"/>
          <w:szCs w:val="24"/>
          <w:lang w:val="en"/>
        </w:rPr>
        <w:t>Sections of the academic discipline and competencies that are formed when mastering them</w:t>
      </w:r>
      <w:r w:rsidRPr="00FA5B7F">
        <w:rPr>
          <w:b/>
          <w:sz w:val="24"/>
          <w:szCs w:val="24"/>
          <w:lang w:val="en"/>
        </w:rPr>
        <w:t>.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446"/>
        <w:gridCol w:w="6627"/>
      </w:tblGrid>
      <w:tr w:rsidR="00F30A30" w:rsidRPr="00F30A30" w14:paraId="110B2412" w14:textId="77777777" w:rsidTr="00F30A30">
        <w:trPr>
          <w:trHeight w:val="186"/>
          <w:jc w:val="center"/>
        </w:trPr>
        <w:tc>
          <w:tcPr>
            <w:tcW w:w="534" w:type="dxa"/>
            <w:vAlign w:val="center"/>
          </w:tcPr>
          <w:p w14:paraId="201E820F" w14:textId="77777777" w:rsidR="00F30A30" w:rsidRPr="009D10E8" w:rsidRDefault="00F30A30" w:rsidP="00192135">
            <w:pPr>
              <w:widowControl w:val="0"/>
              <w:ind w:left="-57" w:right="-57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1134" w:type="dxa"/>
            <w:vAlign w:val="center"/>
          </w:tcPr>
          <w:p w14:paraId="4D704D98" w14:textId="77777777" w:rsidR="00F30A30" w:rsidRPr="009D10E8" w:rsidRDefault="00F30A30" w:rsidP="00192135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Comp</w:t>
            </w:r>
            <w:r w:rsidRPr="00E3528D">
              <w:rPr>
                <w:sz w:val="24"/>
                <w:szCs w:val="24"/>
                <w:lang w:val="en"/>
              </w:rPr>
              <w:t>e</w:t>
            </w:r>
            <w:r w:rsidRPr="00E3528D">
              <w:rPr>
                <w:sz w:val="24"/>
                <w:szCs w:val="24"/>
                <w:lang w:val="en"/>
              </w:rPr>
              <w:t>tence code</w:t>
            </w:r>
          </w:p>
        </w:tc>
        <w:tc>
          <w:tcPr>
            <w:tcW w:w="1446" w:type="dxa"/>
            <w:vAlign w:val="center"/>
          </w:tcPr>
          <w:p w14:paraId="685D9962" w14:textId="77777777" w:rsidR="00F30A30" w:rsidRPr="00E3528D" w:rsidRDefault="00F30A30" w:rsidP="00192135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Section name </w:t>
            </w:r>
          </w:p>
          <w:p w14:paraId="69D22448" w14:textId="77777777" w:rsidR="00F30A30" w:rsidRPr="0009128F" w:rsidRDefault="00F30A30" w:rsidP="00192135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of the disc</w:t>
            </w:r>
            <w:r w:rsidRPr="00E3528D">
              <w:rPr>
                <w:sz w:val="24"/>
                <w:szCs w:val="24"/>
                <w:lang w:val="en"/>
              </w:rPr>
              <w:t>i</w:t>
            </w:r>
            <w:r w:rsidRPr="00E3528D">
              <w:rPr>
                <w:sz w:val="24"/>
                <w:szCs w:val="24"/>
                <w:lang w:val="en"/>
              </w:rPr>
              <w:t>pline</w:t>
            </w:r>
          </w:p>
        </w:tc>
        <w:tc>
          <w:tcPr>
            <w:tcW w:w="6627" w:type="dxa"/>
            <w:vAlign w:val="center"/>
          </w:tcPr>
          <w:p w14:paraId="3DC6DCA3" w14:textId="77777777" w:rsidR="00F30A30" w:rsidRPr="0009128F" w:rsidRDefault="00F30A30" w:rsidP="00192135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The content of the section in teaching units</w:t>
            </w:r>
          </w:p>
        </w:tc>
      </w:tr>
      <w:tr w:rsidR="00F30A30" w:rsidRPr="00F30A30" w14:paraId="24118E9C" w14:textId="77777777" w:rsidTr="00F30A30">
        <w:trPr>
          <w:trHeight w:val="3569"/>
          <w:jc w:val="center"/>
        </w:trPr>
        <w:tc>
          <w:tcPr>
            <w:tcW w:w="534" w:type="dxa"/>
          </w:tcPr>
          <w:p w14:paraId="73738B9F" w14:textId="77777777" w:rsidR="00F30A30" w:rsidRPr="0009128F" w:rsidRDefault="00F30A30" w:rsidP="00192135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2C03EBC" w14:textId="77777777" w:rsidR="00F30A30" w:rsidRPr="009D10E8" w:rsidRDefault="00F30A30" w:rsidP="00192135">
            <w:pPr>
              <w:widowControl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D10E8">
              <w:rPr>
                <w:bCs/>
                <w:sz w:val="24"/>
                <w:szCs w:val="24"/>
                <w:lang w:val="en"/>
              </w:rPr>
              <w:t>PC-10</w:t>
            </w:r>
          </w:p>
        </w:tc>
        <w:tc>
          <w:tcPr>
            <w:tcW w:w="1446" w:type="dxa"/>
          </w:tcPr>
          <w:p w14:paraId="14338266" w14:textId="77777777" w:rsidR="00F30A30" w:rsidRPr="0009128F" w:rsidRDefault="00F30A30" w:rsidP="00192135">
            <w:pPr>
              <w:widowControl w:val="0"/>
              <w:rPr>
                <w:rFonts w:cs="Times New Roman"/>
                <w:sz w:val="24"/>
                <w:szCs w:val="24"/>
                <w:lang w:val="en-US"/>
              </w:rPr>
            </w:pPr>
            <w:r w:rsidRPr="000E241B">
              <w:rPr>
                <w:bCs/>
                <w:sz w:val="24"/>
                <w:szCs w:val="24"/>
                <w:lang w:val="en"/>
              </w:rPr>
              <w:t>Legal a</w:t>
            </w:r>
            <w:r w:rsidRPr="000E241B">
              <w:rPr>
                <w:bCs/>
                <w:sz w:val="24"/>
                <w:szCs w:val="24"/>
                <w:lang w:val="en"/>
              </w:rPr>
              <w:t>s</w:t>
            </w:r>
            <w:r w:rsidRPr="000E241B">
              <w:rPr>
                <w:bCs/>
                <w:sz w:val="24"/>
                <w:szCs w:val="24"/>
                <w:lang w:val="en"/>
              </w:rPr>
              <w:t>pects of o</w:t>
            </w:r>
            <w:r w:rsidRPr="000E241B">
              <w:rPr>
                <w:bCs/>
                <w:sz w:val="24"/>
                <w:szCs w:val="24"/>
                <w:lang w:val="en"/>
              </w:rPr>
              <w:t>r</w:t>
            </w:r>
            <w:r w:rsidRPr="000E241B">
              <w:rPr>
                <w:bCs/>
                <w:sz w:val="24"/>
                <w:szCs w:val="24"/>
                <w:lang w:val="en"/>
              </w:rPr>
              <w:t>ganization of pharm</w:t>
            </w:r>
            <w:r w:rsidRPr="000E241B">
              <w:rPr>
                <w:bCs/>
                <w:sz w:val="24"/>
                <w:szCs w:val="24"/>
                <w:lang w:val="en"/>
              </w:rPr>
              <w:t>a</w:t>
            </w:r>
            <w:r w:rsidRPr="000E241B">
              <w:rPr>
                <w:bCs/>
                <w:sz w:val="24"/>
                <w:szCs w:val="24"/>
                <w:lang w:val="en"/>
              </w:rPr>
              <w:t>ceutical a</w:t>
            </w:r>
            <w:r w:rsidRPr="000E241B">
              <w:rPr>
                <w:bCs/>
                <w:sz w:val="24"/>
                <w:szCs w:val="24"/>
                <w:lang w:val="en"/>
              </w:rPr>
              <w:t>c</w:t>
            </w:r>
            <w:r w:rsidRPr="000E241B">
              <w:rPr>
                <w:bCs/>
                <w:sz w:val="24"/>
                <w:szCs w:val="24"/>
                <w:lang w:val="en"/>
              </w:rPr>
              <w:t>tivities</w:t>
            </w:r>
          </w:p>
        </w:tc>
        <w:tc>
          <w:tcPr>
            <w:tcW w:w="6627" w:type="dxa"/>
          </w:tcPr>
          <w:p w14:paraId="171E3D34" w14:textId="77777777" w:rsidR="00F30A30" w:rsidRPr="0009128F" w:rsidRDefault="00F30A30" w:rsidP="00192135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D10E8">
              <w:rPr>
                <w:color w:val="000000"/>
                <w:sz w:val="24"/>
                <w:szCs w:val="24"/>
                <w:shd w:val="clear" w:color="auto" w:fill="FFFFFF"/>
                <w:lang w:val="en"/>
              </w:rPr>
              <w:t>State regulation of pharmaceutical activity as an element of the system of public health protection in pharmaceutical activities. Legal status of subjects of pharmaceutical activity.</w:t>
            </w:r>
          </w:p>
          <w:p w14:paraId="7E1EA591" w14:textId="77777777" w:rsidR="00F30A30" w:rsidRPr="0009128F" w:rsidRDefault="00F30A30" w:rsidP="00192135">
            <w:pPr>
              <w:widowControl w:val="0"/>
              <w:rPr>
                <w:rFonts w:cs="Times New Roman"/>
                <w:sz w:val="24"/>
                <w:szCs w:val="24"/>
                <w:lang w:val="en-US"/>
              </w:rPr>
            </w:pPr>
            <w:r w:rsidRPr="009D10E8">
              <w:rPr>
                <w:sz w:val="24"/>
                <w:szCs w:val="24"/>
                <w:lang w:val="en"/>
              </w:rPr>
              <w:t>The procedure for the creation, reorganization and liquidation of pharmaceutical entities.</w:t>
            </w:r>
          </w:p>
          <w:p w14:paraId="78C295EC" w14:textId="77777777" w:rsidR="00F30A30" w:rsidRPr="0009128F" w:rsidRDefault="00F30A30" w:rsidP="00192135">
            <w:pPr>
              <w:widowControl w:val="0"/>
              <w:rPr>
                <w:rFonts w:cs="Times New Roman"/>
                <w:sz w:val="24"/>
                <w:szCs w:val="24"/>
                <w:lang w:val="en-US"/>
              </w:rPr>
            </w:pPr>
            <w:r w:rsidRPr="009D10E8">
              <w:rPr>
                <w:sz w:val="24"/>
                <w:szCs w:val="24"/>
                <w:lang w:val="en"/>
              </w:rPr>
              <w:t>Corporations in pharmaceutical activities and other activities r</w:t>
            </w:r>
            <w:r w:rsidRPr="009D10E8">
              <w:rPr>
                <w:sz w:val="24"/>
                <w:szCs w:val="24"/>
                <w:lang w:val="en"/>
              </w:rPr>
              <w:t>e</w:t>
            </w:r>
            <w:r w:rsidRPr="009D10E8">
              <w:rPr>
                <w:sz w:val="24"/>
                <w:szCs w:val="24"/>
                <w:lang w:val="en"/>
              </w:rPr>
              <w:t>lated to the circulation of medicines and medical devices.</w:t>
            </w:r>
          </w:p>
          <w:p w14:paraId="5BFE6E73" w14:textId="77777777" w:rsidR="00F30A30" w:rsidRPr="0009128F" w:rsidRDefault="00F30A30" w:rsidP="00192135">
            <w:pPr>
              <w:widowControl w:val="0"/>
              <w:rPr>
                <w:rFonts w:cs="Times New Roman"/>
                <w:sz w:val="24"/>
                <w:szCs w:val="24"/>
                <w:lang w:val="en-US"/>
              </w:rPr>
            </w:pPr>
            <w:r w:rsidRPr="009D10E8">
              <w:rPr>
                <w:sz w:val="24"/>
                <w:szCs w:val="24"/>
                <w:lang w:val="en"/>
              </w:rPr>
              <w:t>Licensing of pharmaceutical activities.</w:t>
            </w:r>
          </w:p>
          <w:p w14:paraId="4AE02B63" w14:textId="77777777" w:rsidR="00F30A30" w:rsidRPr="0009128F" w:rsidRDefault="00F30A30" w:rsidP="00192135">
            <w:pPr>
              <w:widowControl w:val="0"/>
              <w:rPr>
                <w:rFonts w:cs="Times New Roman"/>
                <w:sz w:val="24"/>
                <w:szCs w:val="24"/>
                <w:lang w:val="en-US"/>
              </w:rPr>
            </w:pPr>
            <w:r w:rsidRPr="009D10E8">
              <w:rPr>
                <w:sz w:val="24"/>
                <w:szCs w:val="24"/>
                <w:lang w:val="en"/>
              </w:rPr>
              <w:t>The general legal regime of the property of subjects of pharm</w:t>
            </w:r>
            <w:r w:rsidRPr="009D10E8">
              <w:rPr>
                <w:sz w:val="24"/>
                <w:szCs w:val="24"/>
                <w:lang w:val="en"/>
              </w:rPr>
              <w:t>a</w:t>
            </w:r>
            <w:r w:rsidRPr="009D10E8">
              <w:rPr>
                <w:sz w:val="24"/>
                <w:szCs w:val="24"/>
                <w:lang w:val="en"/>
              </w:rPr>
              <w:t xml:space="preserve">ceutical activity. </w:t>
            </w:r>
          </w:p>
          <w:p w14:paraId="14ED473D" w14:textId="77777777" w:rsidR="00F30A30" w:rsidRPr="0009128F" w:rsidRDefault="00F30A30" w:rsidP="00192135">
            <w:pPr>
              <w:widowControl w:val="0"/>
              <w:rPr>
                <w:rFonts w:cs="Times New Roman"/>
                <w:sz w:val="24"/>
                <w:szCs w:val="24"/>
                <w:lang w:val="en-US"/>
              </w:rPr>
            </w:pPr>
            <w:r w:rsidRPr="009D10E8">
              <w:rPr>
                <w:sz w:val="24"/>
                <w:szCs w:val="24"/>
                <w:lang w:val="en"/>
              </w:rPr>
              <w:t>Insolvency (bankruptcy) of pharmaceutical entities.</w:t>
            </w:r>
          </w:p>
          <w:p w14:paraId="6DD2B391" w14:textId="77777777" w:rsidR="00F30A30" w:rsidRPr="0009128F" w:rsidRDefault="00F30A30" w:rsidP="00192135">
            <w:pPr>
              <w:widowControl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D10E8">
              <w:rPr>
                <w:sz w:val="24"/>
                <w:szCs w:val="24"/>
                <w:lang w:val="en"/>
              </w:rPr>
              <w:t>Antimonopoly regulation of pharmaceutical activities and other activities related to the circulation of medicines and medical d</w:t>
            </w:r>
            <w:r w:rsidRPr="009D10E8">
              <w:rPr>
                <w:sz w:val="24"/>
                <w:szCs w:val="24"/>
                <w:lang w:val="en"/>
              </w:rPr>
              <w:t>e</w:t>
            </w:r>
            <w:r w:rsidRPr="009D10E8">
              <w:rPr>
                <w:sz w:val="24"/>
                <w:szCs w:val="24"/>
                <w:lang w:val="en"/>
              </w:rPr>
              <w:t>vices.</w:t>
            </w:r>
          </w:p>
          <w:p w14:paraId="473FBBA9" w14:textId="77777777" w:rsidR="00F30A30" w:rsidRPr="0009128F" w:rsidRDefault="00F30A30" w:rsidP="00192135">
            <w:pPr>
              <w:widowControl w:val="0"/>
              <w:rPr>
                <w:rFonts w:cs="Times New Roman"/>
                <w:sz w:val="24"/>
                <w:szCs w:val="24"/>
                <w:lang w:val="en-US"/>
              </w:rPr>
            </w:pPr>
            <w:r w:rsidRPr="009D10E8">
              <w:rPr>
                <w:sz w:val="24"/>
                <w:szCs w:val="24"/>
                <w:lang w:val="en"/>
              </w:rPr>
              <w:t xml:space="preserve">Protection of the rights and legitimate interests of subjects of pharmaceutical activity (jurisdictional and non-jurisdictional forms). </w:t>
            </w:r>
          </w:p>
          <w:p w14:paraId="730F1124" w14:textId="77777777" w:rsidR="00F30A30" w:rsidRPr="0009128F" w:rsidRDefault="00F30A30" w:rsidP="00192135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D10E8">
              <w:rPr>
                <w:sz w:val="24"/>
                <w:szCs w:val="24"/>
                <w:lang w:val="en"/>
              </w:rPr>
              <w:t xml:space="preserve">Regulation of pharmaceutical activities and other activities related to the circulation of medicines and medical devices within the EAEU. </w:t>
            </w:r>
          </w:p>
        </w:tc>
      </w:tr>
    </w:tbl>
    <w:p w14:paraId="5098CC50" w14:textId="6049FB43" w:rsidR="00F30A30" w:rsidRDefault="00F30A30" w:rsidP="00F30A30">
      <w:pPr>
        <w:widowControl w:val="0"/>
        <w:ind w:firstLine="709"/>
        <w:jc w:val="both"/>
        <w:rPr>
          <w:rFonts w:cs="Times New Roman"/>
          <w:bCs/>
          <w:szCs w:val="28"/>
          <w:lang w:val="en-US"/>
        </w:rPr>
      </w:pPr>
    </w:p>
    <w:sectPr w:rsidR="00F30A30" w:rsidSect="00F30A30">
      <w:pgSz w:w="11907" w:h="16840" w:code="9"/>
      <w:pgMar w:top="1134" w:right="851" w:bottom="1134" w:left="1418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BBB6" w14:textId="77777777" w:rsidR="003F03F0" w:rsidRDefault="003F03F0">
      <w:r>
        <w:rPr>
          <w:lang w:val="en"/>
        </w:rPr>
        <w:separator/>
      </w:r>
    </w:p>
  </w:endnote>
  <w:endnote w:type="continuationSeparator" w:id="0">
    <w:p w14:paraId="4372D5AE" w14:textId="77777777" w:rsidR="003F03F0" w:rsidRDefault="003F03F0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1112E" w14:textId="77777777" w:rsidR="003F03F0" w:rsidRDefault="003F03F0">
      <w:r>
        <w:rPr>
          <w:lang w:val="en"/>
        </w:rPr>
        <w:separator/>
      </w:r>
    </w:p>
  </w:footnote>
  <w:footnote w:type="continuationSeparator" w:id="0">
    <w:p w14:paraId="5DCB3D25" w14:textId="77777777" w:rsidR="003F03F0" w:rsidRDefault="003F03F0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2E0"/>
    <w:multiLevelType w:val="hybridMultilevel"/>
    <w:tmpl w:val="78387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BD7"/>
    <w:multiLevelType w:val="hybridMultilevel"/>
    <w:tmpl w:val="867E04E0"/>
    <w:lvl w:ilvl="0" w:tplc="7F12588A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55A5BEE" w:tentative="1">
      <w:start w:val="1"/>
      <w:numFmt w:val="lowerLetter"/>
      <w:lvlText w:val="%2."/>
      <w:lvlJc w:val="left"/>
      <w:pPr>
        <w:ind w:left="1505" w:hanging="360"/>
      </w:pPr>
    </w:lvl>
    <w:lvl w:ilvl="2" w:tplc="405A1BCA" w:tentative="1">
      <w:start w:val="1"/>
      <w:numFmt w:val="lowerRoman"/>
      <w:lvlText w:val="%3."/>
      <w:lvlJc w:val="right"/>
      <w:pPr>
        <w:ind w:left="2225" w:hanging="180"/>
      </w:pPr>
    </w:lvl>
    <w:lvl w:ilvl="3" w:tplc="615A406C" w:tentative="1">
      <w:start w:val="1"/>
      <w:numFmt w:val="decimal"/>
      <w:lvlText w:val="%4."/>
      <w:lvlJc w:val="left"/>
      <w:pPr>
        <w:ind w:left="2945" w:hanging="360"/>
      </w:pPr>
    </w:lvl>
    <w:lvl w:ilvl="4" w:tplc="D9F2A7D2" w:tentative="1">
      <w:start w:val="1"/>
      <w:numFmt w:val="lowerLetter"/>
      <w:lvlText w:val="%5."/>
      <w:lvlJc w:val="left"/>
      <w:pPr>
        <w:ind w:left="3665" w:hanging="360"/>
      </w:pPr>
    </w:lvl>
    <w:lvl w:ilvl="5" w:tplc="C3D69808" w:tentative="1">
      <w:start w:val="1"/>
      <w:numFmt w:val="lowerRoman"/>
      <w:lvlText w:val="%6."/>
      <w:lvlJc w:val="right"/>
      <w:pPr>
        <w:ind w:left="4385" w:hanging="180"/>
      </w:pPr>
    </w:lvl>
    <w:lvl w:ilvl="6" w:tplc="1048EABE" w:tentative="1">
      <w:start w:val="1"/>
      <w:numFmt w:val="decimal"/>
      <w:lvlText w:val="%7."/>
      <w:lvlJc w:val="left"/>
      <w:pPr>
        <w:ind w:left="5105" w:hanging="360"/>
      </w:pPr>
    </w:lvl>
    <w:lvl w:ilvl="7" w:tplc="30EAC972" w:tentative="1">
      <w:start w:val="1"/>
      <w:numFmt w:val="lowerLetter"/>
      <w:lvlText w:val="%8."/>
      <w:lvlJc w:val="left"/>
      <w:pPr>
        <w:ind w:left="5825" w:hanging="360"/>
      </w:pPr>
    </w:lvl>
    <w:lvl w:ilvl="8" w:tplc="915AD25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FC76F37"/>
    <w:multiLevelType w:val="hybridMultilevel"/>
    <w:tmpl w:val="D854B6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2AC3"/>
    <w:multiLevelType w:val="hybridMultilevel"/>
    <w:tmpl w:val="6CDA6D7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1CC9019C"/>
    <w:multiLevelType w:val="hybridMultilevel"/>
    <w:tmpl w:val="E0D87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397442"/>
    <w:multiLevelType w:val="hybridMultilevel"/>
    <w:tmpl w:val="CF5A4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532E43"/>
    <w:multiLevelType w:val="hybridMultilevel"/>
    <w:tmpl w:val="0CA42C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6B78B4"/>
    <w:multiLevelType w:val="hybridMultilevel"/>
    <w:tmpl w:val="68E46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F84239"/>
    <w:multiLevelType w:val="hybridMultilevel"/>
    <w:tmpl w:val="8E3287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A7A3A"/>
    <w:multiLevelType w:val="hybridMultilevel"/>
    <w:tmpl w:val="88A82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9C2452"/>
    <w:multiLevelType w:val="hybridMultilevel"/>
    <w:tmpl w:val="2850FC38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9332C"/>
    <w:multiLevelType w:val="hybridMultilevel"/>
    <w:tmpl w:val="9A32F320"/>
    <w:lvl w:ilvl="0" w:tplc="4B820B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12D65"/>
    <w:multiLevelType w:val="hybridMultilevel"/>
    <w:tmpl w:val="7168FD26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56EFE"/>
    <w:multiLevelType w:val="hybridMultilevel"/>
    <w:tmpl w:val="8D80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8B089E"/>
    <w:multiLevelType w:val="hybridMultilevel"/>
    <w:tmpl w:val="75C0BD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1538F"/>
    <w:multiLevelType w:val="hybridMultilevel"/>
    <w:tmpl w:val="68E46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757D5B"/>
    <w:multiLevelType w:val="hybridMultilevel"/>
    <w:tmpl w:val="D06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2B6DBD"/>
    <w:multiLevelType w:val="hybridMultilevel"/>
    <w:tmpl w:val="D06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15"/>
  </w:num>
  <w:num w:numId="14">
    <w:abstractNumId w:val="2"/>
  </w:num>
  <w:num w:numId="15">
    <w:abstractNumId w:val="13"/>
  </w:num>
  <w:num w:numId="16">
    <w:abstractNumId w:val="5"/>
  </w:num>
  <w:num w:numId="17">
    <w:abstractNumId w:val="3"/>
  </w:num>
  <w:num w:numId="18">
    <w:abstractNumId w:val="1"/>
  </w:num>
  <w:num w:numId="1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AF"/>
    <w:rsid w:val="00001C1C"/>
    <w:rsid w:val="000028EC"/>
    <w:rsid w:val="00003CE9"/>
    <w:rsid w:val="000042A6"/>
    <w:rsid w:val="00005EE1"/>
    <w:rsid w:val="000121B2"/>
    <w:rsid w:val="00016397"/>
    <w:rsid w:val="0003149A"/>
    <w:rsid w:val="000403DB"/>
    <w:rsid w:val="00040BD0"/>
    <w:rsid w:val="0004111E"/>
    <w:rsid w:val="000435F4"/>
    <w:rsid w:val="00044057"/>
    <w:rsid w:val="00050B41"/>
    <w:rsid w:val="00052D40"/>
    <w:rsid w:val="000569FA"/>
    <w:rsid w:val="00057AEF"/>
    <w:rsid w:val="00061C24"/>
    <w:rsid w:val="00063594"/>
    <w:rsid w:val="00064365"/>
    <w:rsid w:val="000665A1"/>
    <w:rsid w:val="00071377"/>
    <w:rsid w:val="00073648"/>
    <w:rsid w:val="0007512E"/>
    <w:rsid w:val="00075FC2"/>
    <w:rsid w:val="000803F4"/>
    <w:rsid w:val="000820CF"/>
    <w:rsid w:val="000844C5"/>
    <w:rsid w:val="0008760B"/>
    <w:rsid w:val="0009128F"/>
    <w:rsid w:val="0009533F"/>
    <w:rsid w:val="00095350"/>
    <w:rsid w:val="000A4D82"/>
    <w:rsid w:val="000A59C3"/>
    <w:rsid w:val="000A72A5"/>
    <w:rsid w:val="000B27BD"/>
    <w:rsid w:val="000B3772"/>
    <w:rsid w:val="000B72E9"/>
    <w:rsid w:val="000B7EA7"/>
    <w:rsid w:val="000C0444"/>
    <w:rsid w:val="000C05C2"/>
    <w:rsid w:val="000C2AB6"/>
    <w:rsid w:val="000C6B9B"/>
    <w:rsid w:val="000C71D4"/>
    <w:rsid w:val="000C736E"/>
    <w:rsid w:val="000C7900"/>
    <w:rsid w:val="000D1A17"/>
    <w:rsid w:val="000D3A29"/>
    <w:rsid w:val="000D3C1B"/>
    <w:rsid w:val="000D3C39"/>
    <w:rsid w:val="000D6885"/>
    <w:rsid w:val="000E144B"/>
    <w:rsid w:val="000E241B"/>
    <w:rsid w:val="000E5B66"/>
    <w:rsid w:val="000F3FDC"/>
    <w:rsid w:val="000F549E"/>
    <w:rsid w:val="0010209B"/>
    <w:rsid w:val="00107B0A"/>
    <w:rsid w:val="0011015E"/>
    <w:rsid w:val="001112E1"/>
    <w:rsid w:val="00112607"/>
    <w:rsid w:val="0011303D"/>
    <w:rsid w:val="00115E58"/>
    <w:rsid w:val="00116A63"/>
    <w:rsid w:val="00120517"/>
    <w:rsid w:val="00122ECF"/>
    <w:rsid w:val="00126962"/>
    <w:rsid w:val="00130992"/>
    <w:rsid w:val="00131861"/>
    <w:rsid w:val="0013192F"/>
    <w:rsid w:val="00133F1A"/>
    <w:rsid w:val="001354D5"/>
    <w:rsid w:val="001450A2"/>
    <w:rsid w:val="00146485"/>
    <w:rsid w:val="001464DF"/>
    <w:rsid w:val="00147040"/>
    <w:rsid w:val="00150E99"/>
    <w:rsid w:val="001531A5"/>
    <w:rsid w:val="0015403E"/>
    <w:rsid w:val="00155BE1"/>
    <w:rsid w:val="00163957"/>
    <w:rsid w:val="00164018"/>
    <w:rsid w:val="00164FE2"/>
    <w:rsid w:val="00165BF4"/>
    <w:rsid w:val="00166E11"/>
    <w:rsid w:val="00184400"/>
    <w:rsid w:val="001856FB"/>
    <w:rsid w:val="00195B06"/>
    <w:rsid w:val="00195BE3"/>
    <w:rsid w:val="001A262C"/>
    <w:rsid w:val="001A3F39"/>
    <w:rsid w:val="001A6980"/>
    <w:rsid w:val="001B18C3"/>
    <w:rsid w:val="001B266F"/>
    <w:rsid w:val="001B3AFE"/>
    <w:rsid w:val="001B3B8C"/>
    <w:rsid w:val="001B4227"/>
    <w:rsid w:val="001B7DF1"/>
    <w:rsid w:val="001C0119"/>
    <w:rsid w:val="001D0093"/>
    <w:rsid w:val="001D688C"/>
    <w:rsid w:val="001D76BE"/>
    <w:rsid w:val="001E0387"/>
    <w:rsid w:val="001E2C1F"/>
    <w:rsid w:val="001E4A2F"/>
    <w:rsid w:val="001E6A92"/>
    <w:rsid w:val="001F0B87"/>
    <w:rsid w:val="001F3207"/>
    <w:rsid w:val="001F6235"/>
    <w:rsid w:val="001F67BE"/>
    <w:rsid w:val="00200C26"/>
    <w:rsid w:val="002036CB"/>
    <w:rsid w:val="00205634"/>
    <w:rsid w:val="0020599A"/>
    <w:rsid w:val="00205B30"/>
    <w:rsid w:val="002062BA"/>
    <w:rsid w:val="00207DEC"/>
    <w:rsid w:val="00210817"/>
    <w:rsid w:val="002178C5"/>
    <w:rsid w:val="00221AF4"/>
    <w:rsid w:val="00233D37"/>
    <w:rsid w:val="00237DCF"/>
    <w:rsid w:val="00243123"/>
    <w:rsid w:val="00250541"/>
    <w:rsid w:val="0025689F"/>
    <w:rsid w:val="00260066"/>
    <w:rsid w:val="00260B62"/>
    <w:rsid w:val="00262B17"/>
    <w:rsid w:val="00267240"/>
    <w:rsid w:val="00267DFC"/>
    <w:rsid w:val="002708A4"/>
    <w:rsid w:val="00277887"/>
    <w:rsid w:val="0027788F"/>
    <w:rsid w:val="00282E1D"/>
    <w:rsid w:val="00283F06"/>
    <w:rsid w:val="00285C9E"/>
    <w:rsid w:val="00290944"/>
    <w:rsid w:val="00291398"/>
    <w:rsid w:val="002942E1"/>
    <w:rsid w:val="002A0B2D"/>
    <w:rsid w:val="002A27CD"/>
    <w:rsid w:val="002B43C5"/>
    <w:rsid w:val="002B6903"/>
    <w:rsid w:val="002C1A12"/>
    <w:rsid w:val="002C715B"/>
    <w:rsid w:val="002D1A23"/>
    <w:rsid w:val="002D414E"/>
    <w:rsid w:val="002E5103"/>
    <w:rsid w:val="002F3983"/>
    <w:rsid w:val="0030063E"/>
    <w:rsid w:val="00304094"/>
    <w:rsid w:val="00305FAF"/>
    <w:rsid w:val="00310DE7"/>
    <w:rsid w:val="00312B43"/>
    <w:rsid w:val="00312D39"/>
    <w:rsid w:val="00320696"/>
    <w:rsid w:val="00327CCA"/>
    <w:rsid w:val="00332304"/>
    <w:rsid w:val="00344694"/>
    <w:rsid w:val="00344FEA"/>
    <w:rsid w:val="00346AF6"/>
    <w:rsid w:val="00347388"/>
    <w:rsid w:val="003538AC"/>
    <w:rsid w:val="00353AAA"/>
    <w:rsid w:val="00356B65"/>
    <w:rsid w:val="00362412"/>
    <w:rsid w:val="003704CD"/>
    <w:rsid w:val="003711E1"/>
    <w:rsid w:val="003816B0"/>
    <w:rsid w:val="00384E91"/>
    <w:rsid w:val="0038786D"/>
    <w:rsid w:val="003925FB"/>
    <w:rsid w:val="00394A5D"/>
    <w:rsid w:val="003963CC"/>
    <w:rsid w:val="00396E2F"/>
    <w:rsid w:val="0039729A"/>
    <w:rsid w:val="003A3A0F"/>
    <w:rsid w:val="003A472D"/>
    <w:rsid w:val="003A7AC8"/>
    <w:rsid w:val="003B0E40"/>
    <w:rsid w:val="003B2A07"/>
    <w:rsid w:val="003B6F81"/>
    <w:rsid w:val="003C5562"/>
    <w:rsid w:val="003D0735"/>
    <w:rsid w:val="003D3063"/>
    <w:rsid w:val="003E3106"/>
    <w:rsid w:val="003E6258"/>
    <w:rsid w:val="003F03F0"/>
    <w:rsid w:val="003F196B"/>
    <w:rsid w:val="003F732A"/>
    <w:rsid w:val="004008C2"/>
    <w:rsid w:val="00406445"/>
    <w:rsid w:val="00406C72"/>
    <w:rsid w:val="0041248F"/>
    <w:rsid w:val="00412D42"/>
    <w:rsid w:val="00412DC7"/>
    <w:rsid w:val="00413C94"/>
    <w:rsid w:val="00414E99"/>
    <w:rsid w:val="0041545A"/>
    <w:rsid w:val="00431B2A"/>
    <w:rsid w:val="00431CF9"/>
    <w:rsid w:val="0043459F"/>
    <w:rsid w:val="004345D3"/>
    <w:rsid w:val="004439DD"/>
    <w:rsid w:val="00445C88"/>
    <w:rsid w:val="0044719A"/>
    <w:rsid w:val="0044785D"/>
    <w:rsid w:val="00452958"/>
    <w:rsid w:val="0045333E"/>
    <w:rsid w:val="00455357"/>
    <w:rsid w:val="0045784B"/>
    <w:rsid w:val="00463D14"/>
    <w:rsid w:val="00466C16"/>
    <w:rsid w:val="00476F5C"/>
    <w:rsid w:val="00482296"/>
    <w:rsid w:val="00482E66"/>
    <w:rsid w:val="00486C86"/>
    <w:rsid w:val="004A103E"/>
    <w:rsid w:val="004A1C30"/>
    <w:rsid w:val="004A3268"/>
    <w:rsid w:val="004A3418"/>
    <w:rsid w:val="004A5553"/>
    <w:rsid w:val="004B0A3C"/>
    <w:rsid w:val="004B1E0B"/>
    <w:rsid w:val="004C221C"/>
    <w:rsid w:val="004C246D"/>
    <w:rsid w:val="004C2652"/>
    <w:rsid w:val="004C6766"/>
    <w:rsid w:val="004C6A41"/>
    <w:rsid w:val="004C707A"/>
    <w:rsid w:val="004D458A"/>
    <w:rsid w:val="004D61C7"/>
    <w:rsid w:val="004F077A"/>
    <w:rsid w:val="004F09BB"/>
    <w:rsid w:val="004F42F2"/>
    <w:rsid w:val="00506351"/>
    <w:rsid w:val="005065F4"/>
    <w:rsid w:val="00511631"/>
    <w:rsid w:val="00513DD6"/>
    <w:rsid w:val="00520B62"/>
    <w:rsid w:val="00526394"/>
    <w:rsid w:val="005264E5"/>
    <w:rsid w:val="00530B44"/>
    <w:rsid w:val="00530C2D"/>
    <w:rsid w:val="0053144A"/>
    <w:rsid w:val="005330FD"/>
    <w:rsid w:val="00535A90"/>
    <w:rsid w:val="0054102E"/>
    <w:rsid w:val="00542103"/>
    <w:rsid w:val="00551F74"/>
    <w:rsid w:val="00553E44"/>
    <w:rsid w:val="005548FA"/>
    <w:rsid w:val="00560B53"/>
    <w:rsid w:val="005646A6"/>
    <w:rsid w:val="00564B99"/>
    <w:rsid w:val="00566D1A"/>
    <w:rsid w:val="00567AA8"/>
    <w:rsid w:val="00570E69"/>
    <w:rsid w:val="00572101"/>
    <w:rsid w:val="005736A0"/>
    <w:rsid w:val="00576C29"/>
    <w:rsid w:val="00577141"/>
    <w:rsid w:val="00580EF3"/>
    <w:rsid w:val="0058387F"/>
    <w:rsid w:val="0059074D"/>
    <w:rsid w:val="00595549"/>
    <w:rsid w:val="00595B7C"/>
    <w:rsid w:val="005A0AEE"/>
    <w:rsid w:val="005A2593"/>
    <w:rsid w:val="005A4FEC"/>
    <w:rsid w:val="005B1FDC"/>
    <w:rsid w:val="005B28EF"/>
    <w:rsid w:val="005B2F04"/>
    <w:rsid w:val="005C17E6"/>
    <w:rsid w:val="005C5998"/>
    <w:rsid w:val="005C5D9C"/>
    <w:rsid w:val="005C6058"/>
    <w:rsid w:val="005D2FDE"/>
    <w:rsid w:val="005D4B0A"/>
    <w:rsid w:val="005D5FFE"/>
    <w:rsid w:val="005E177C"/>
    <w:rsid w:val="005E2CAC"/>
    <w:rsid w:val="005E2F70"/>
    <w:rsid w:val="005E320D"/>
    <w:rsid w:val="005F1DA3"/>
    <w:rsid w:val="005F2E06"/>
    <w:rsid w:val="005F3B66"/>
    <w:rsid w:val="005F3CF4"/>
    <w:rsid w:val="005F5A9A"/>
    <w:rsid w:val="00600831"/>
    <w:rsid w:val="00603C42"/>
    <w:rsid w:val="006067B4"/>
    <w:rsid w:val="00611CEE"/>
    <w:rsid w:val="0061338E"/>
    <w:rsid w:val="0063013A"/>
    <w:rsid w:val="006305D4"/>
    <w:rsid w:val="006324BD"/>
    <w:rsid w:val="006333DF"/>
    <w:rsid w:val="00635B53"/>
    <w:rsid w:val="006368B0"/>
    <w:rsid w:val="00636F4A"/>
    <w:rsid w:val="006434E3"/>
    <w:rsid w:val="00644886"/>
    <w:rsid w:val="00646C54"/>
    <w:rsid w:val="00650779"/>
    <w:rsid w:val="00653435"/>
    <w:rsid w:val="006550EA"/>
    <w:rsid w:val="0065788D"/>
    <w:rsid w:val="00666845"/>
    <w:rsid w:val="006678E3"/>
    <w:rsid w:val="0068512B"/>
    <w:rsid w:val="006855AE"/>
    <w:rsid w:val="0069129F"/>
    <w:rsid w:val="00691DA4"/>
    <w:rsid w:val="00692573"/>
    <w:rsid w:val="00693CB7"/>
    <w:rsid w:val="0069623E"/>
    <w:rsid w:val="006965B2"/>
    <w:rsid w:val="006A0C57"/>
    <w:rsid w:val="006A0FFC"/>
    <w:rsid w:val="006A3518"/>
    <w:rsid w:val="006A39D9"/>
    <w:rsid w:val="006A4F8C"/>
    <w:rsid w:val="006A5642"/>
    <w:rsid w:val="006B02A7"/>
    <w:rsid w:val="006B463A"/>
    <w:rsid w:val="006B4F12"/>
    <w:rsid w:val="006B560F"/>
    <w:rsid w:val="006C0A65"/>
    <w:rsid w:val="006C58C7"/>
    <w:rsid w:val="006D0446"/>
    <w:rsid w:val="006D4D52"/>
    <w:rsid w:val="006E4EBD"/>
    <w:rsid w:val="006F059A"/>
    <w:rsid w:val="006F513D"/>
    <w:rsid w:val="006F6997"/>
    <w:rsid w:val="00703395"/>
    <w:rsid w:val="0070645C"/>
    <w:rsid w:val="00706A17"/>
    <w:rsid w:val="00707655"/>
    <w:rsid w:val="00707E3D"/>
    <w:rsid w:val="00712FA2"/>
    <w:rsid w:val="007169F4"/>
    <w:rsid w:val="007232D3"/>
    <w:rsid w:val="00726D8F"/>
    <w:rsid w:val="00731430"/>
    <w:rsid w:val="00733DC9"/>
    <w:rsid w:val="007439CF"/>
    <w:rsid w:val="00755C47"/>
    <w:rsid w:val="00755EFE"/>
    <w:rsid w:val="00757D96"/>
    <w:rsid w:val="007612A8"/>
    <w:rsid w:val="0076207C"/>
    <w:rsid w:val="00763280"/>
    <w:rsid w:val="00766248"/>
    <w:rsid w:val="00771AE3"/>
    <w:rsid w:val="00772274"/>
    <w:rsid w:val="00773D9D"/>
    <w:rsid w:val="00774216"/>
    <w:rsid w:val="0078248F"/>
    <w:rsid w:val="00783C70"/>
    <w:rsid w:val="00785434"/>
    <w:rsid w:val="00785694"/>
    <w:rsid w:val="00787FD2"/>
    <w:rsid w:val="00790143"/>
    <w:rsid w:val="00791103"/>
    <w:rsid w:val="007926F2"/>
    <w:rsid w:val="00792AA9"/>
    <w:rsid w:val="00792C44"/>
    <w:rsid w:val="0079473B"/>
    <w:rsid w:val="007956D4"/>
    <w:rsid w:val="007A3024"/>
    <w:rsid w:val="007B1A02"/>
    <w:rsid w:val="007B52F4"/>
    <w:rsid w:val="007B53E0"/>
    <w:rsid w:val="007C5602"/>
    <w:rsid w:val="007D5D60"/>
    <w:rsid w:val="007D61DF"/>
    <w:rsid w:val="007D6C84"/>
    <w:rsid w:val="007D7DFF"/>
    <w:rsid w:val="007E4F9B"/>
    <w:rsid w:val="007E5A2C"/>
    <w:rsid w:val="007E65FB"/>
    <w:rsid w:val="007E7656"/>
    <w:rsid w:val="007F1C37"/>
    <w:rsid w:val="007F2B16"/>
    <w:rsid w:val="007F3B4D"/>
    <w:rsid w:val="007F7C6E"/>
    <w:rsid w:val="0080401D"/>
    <w:rsid w:val="0080528B"/>
    <w:rsid w:val="00806F96"/>
    <w:rsid w:val="0081499F"/>
    <w:rsid w:val="00815630"/>
    <w:rsid w:val="008214A4"/>
    <w:rsid w:val="0082362C"/>
    <w:rsid w:val="008236BA"/>
    <w:rsid w:val="00826B20"/>
    <w:rsid w:val="008418D3"/>
    <w:rsid w:val="00844DF9"/>
    <w:rsid w:val="00845809"/>
    <w:rsid w:val="00845C57"/>
    <w:rsid w:val="00852E50"/>
    <w:rsid w:val="0086597E"/>
    <w:rsid w:val="008719EE"/>
    <w:rsid w:val="008725AF"/>
    <w:rsid w:val="00874ACE"/>
    <w:rsid w:val="00893A85"/>
    <w:rsid w:val="00893F90"/>
    <w:rsid w:val="00894BEC"/>
    <w:rsid w:val="008A0203"/>
    <w:rsid w:val="008A2392"/>
    <w:rsid w:val="008B298E"/>
    <w:rsid w:val="008C5804"/>
    <w:rsid w:val="008C5C3F"/>
    <w:rsid w:val="008C7A9D"/>
    <w:rsid w:val="008E0297"/>
    <w:rsid w:val="008E0ABF"/>
    <w:rsid w:val="008E12C1"/>
    <w:rsid w:val="008E4FB9"/>
    <w:rsid w:val="008F402D"/>
    <w:rsid w:val="008F43C7"/>
    <w:rsid w:val="008F495A"/>
    <w:rsid w:val="008F5F82"/>
    <w:rsid w:val="0090068F"/>
    <w:rsid w:val="00901319"/>
    <w:rsid w:val="00902817"/>
    <w:rsid w:val="00903379"/>
    <w:rsid w:val="00907A49"/>
    <w:rsid w:val="0091030C"/>
    <w:rsid w:val="00912977"/>
    <w:rsid w:val="00914591"/>
    <w:rsid w:val="00915012"/>
    <w:rsid w:val="00924162"/>
    <w:rsid w:val="00932046"/>
    <w:rsid w:val="00932BA7"/>
    <w:rsid w:val="009334B5"/>
    <w:rsid w:val="00943256"/>
    <w:rsid w:val="00947540"/>
    <w:rsid w:val="00951714"/>
    <w:rsid w:val="009578B1"/>
    <w:rsid w:val="009631AE"/>
    <w:rsid w:val="009633FE"/>
    <w:rsid w:val="009641F4"/>
    <w:rsid w:val="0096551C"/>
    <w:rsid w:val="0097102E"/>
    <w:rsid w:val="009711ED"/>
    <w:rsid w:val="00972947"/>
    <w:rsid w:val="009737D5"/>
    <w:rsid w:val="00980958"/>
    <w:rsid w:val="00981669"/>
    <w:rsid w:val="0098341E"/>
    <w:rsid w:val="00990FCF"/>
    <w:rsid w:val="009A16F3"/>
    <w:rsid w:val="009A23CC"/>
    <w:rsid w:val="009A5471"/>
    <w:rsid w:val="009B14BF"/>
    <w:rsid w:val="009B26E4"/>
    <w:rsid w:val="009B3620"/>
    <w:rsid w:val="009B5DCB"/>
    <w:rsid w:val="009B6CB0"/>
    <w:rsid w:val="009C69AC"/>
    <w:rsid w:val="009C7704"/>
    <w:rsid w:val="009D10E8"/>
    <w:rsid w:val="009D42AD"/>
    <w:rsid w:val="009E652B"/>
    <w:rsid w:val="009E6E9D"/>
    <w:rsid w:val="009E7002"/>
    <w:rsid w:val="009E748B"/>
    <w:rsid w:val="009F07DD"/>
    <w:rsid w:val="009F5FF9"/>
    <w:rsid w:val="009F61B9"/>
    <w:rsid w:val="00A0135E"/>
    <w:rsid w:val="00A06CF6"/>
    <w:rsid w:val="00A076BD"/>
    <w:rsid w:val="00A124AB"/>
    <w:rsid w:val="00A14BB9"/>
    <w:rsid w:val="00A20E85"/>
    <w:rsid w:val="00A2535E"/>
    <w:rsid w:val="00A36D73"/>
    <w:rsid w:val="00A3734A"/>
    <w:rsid w:val="00A42E11"/>
    <w:rsid w:val="00A517EA"/>
    <w:rsid w:val="00A53F71"/>
    <w:rsid w:val="00A553BA"/>
    <w:rsid w:val="00A625BA"/>
    <w:rsid w:val="00A6615D"/>
    <w:rsid w:val="00A74A41"/>
    <w:rsid w:val="00A76A51"/>
    <w:rsid w:val="00A80F8C"/>
    <w:rsid w:val="00A82096"/>
    <w:rsid w:val="00A86D8B"/>
    <w:rsid w:val="00A90714"/>
    <w:rsid w:val="00A90E19"/>
    <w:rsid w:val="00A91049"/>
    <w:rsid w:val="00A93EA5"/>
    <w:rsid w:val="00A97F7D"/>
    <w:rsid w:val="00AA1BFF"/>
    <w:rsid w:val="00AA4A4E"/>
    <w:rsid w:val="00AA5DFF"/>
    <w:rsid w:val="00AA7AA3"/>
    <w:rsid w:val="00AC691B"/>
    <w:rsid w:val="00AD08AA"/>
    <w:rsid w:val="00AD690D"/>
    <w:rsid w:val="00AE03A8"/>
    <w:rsid w:val="00AE14F7"/>
    <w:rsid w:val="00AE1F05"/>
    <w:rsid w:val="00AE2987"/>
    <w:rsid w:val="00AE4479"/>
    <w:rsid w:val="00AE4D44"/>
    <w:rsid w:val="00AE6F7C"/>
    <w:rsid w:val="00AF0F38"/>
    <w:rsid w:val="00AF2187"/>
    <w:rsid w:val="00AF3C6A"/>
    <w:rsid w:val="00B00FA6"/>
    <w:rsid w:val="00B02CFB"/>
    <w:rsid w:val="00B0558C"/>
    <w:rsid w:val="00B05FA5"/>
    <w:rsid w:val="00B101E6"/>
    <w:rsid w:val="00B108C0"/>
    <w:rsid w:val="00B14F44"/>
    <w:rsid w:val="00B2268E"/>
    <w:rsid w:val="00B226C7"/>
    <w:rsid w:val="00B2515B"/>
    <w:rsid w:val="00B255B7"/>
    <w:rsid w:val="00B2674E"/>
    <w:rsid w:val="00B31074"/>
    <w:rsid w:val="00B324DD"/>
    <w:rsid w:val="00B37FCD"/>
    <w:rsid w:val="00B4271D"/>
    <w:rsid w:val="00B43BB0"/>
    <w:rsid w:val="00B4663A"/>
    <w:rsid w:val="00B52C15"/>
    <w:rsid w:val="00B55600"/>
    <w:rsid w:val="00B55B87"/>
    <w:rsid w:val="00B63F97"/>
    <w:rsid w:val="00B715C1"/>
    <w:rsid w:val="00B809D1"/>
    <w:rsid w:val="00B8350D"/>
    <w:rsid w:val="00B868A4"/>
    <w:rsid w:val="00B87A17"/>
    <w:rsid w:val="00B87A75"/>
    <w:rsid w:val="00B90EE2"/>
    <w:rsid w:val="00B95D88"/>
    <w:rsid w:val="00B963A8"/>
    <w:rsid w:val="00BA137D"/>
    <w:rsid w:val="00BA33D0"/>
    <w:rsid w:val="00BA5779"/>
    <w:rsid w:val="00BA6A35"/>
    <w:rsid w:val="00BB460C"/>
    <w:rsid w:val="00BB6051"/>
    <w:rsid w:val="00BC162C"/>
    <w:rsid w:val="00BC2369"/>
    <w:rsid w:val="00BC3D8A"/>
    <w:rsid w:val="00BC3FCF"/>
    <w:rsid w:val="00BC45C5"/>
    <w:rsid w:val="00BD6984"/>
    <w:rsid w:val="00BE1499"/>
    <w:rsid w:val="00BE1EE4"/>
    <w:rsid w:val="00BE6727"/>
    <w:rsid w:val="00BF16E0"/>
    <w:rsid w:val="00BF2157"/>
    <w:rsid w:val="00C0722B"/>
    <w:rsid w:val="00C20911"/>
    <w:rsid w:val="00C22053"/>
    <w:rsid w:val="00C27B81"/>
    <w:rsid w:val="00C34508"/>
    <w:rsid w:val="00C36108"/>
    <w:rsid w:val="00C36B62"/>
    <w:rsid w:val="00C4382C"/>
    <w:rsid w:val="00C54F31"/>
    <w:rsid w:val="00C57482"/>
    <w:rsid w:val="00C61A37"/>
    <w:rsid w:val="00C63018"/>
    <w:rsid w:val="00C6439F"/>
    <w:rsid w:val="00C70AD3"/>
    <w:rsid w:val="00C71C52"/>
    <w:rsid w:val="00C75CE2"/>
    <w:rsid w:val="00C77C90"/>
    <w:rsid w:val="00C807DD"/>
    <w:rsid w:val="00C8154F"/>
    <w:rsid w:val="00C8306D"/>
    <w:rsid w:val="00C90DA2"/>
    <w:rsid w:val="00C91F2E"/>
    <w:rsid w:val="00CA237F"/>
    <w:rsid w:val="00CB29CD"/>
    <w:rsid w:val="00CB66DB"/>
    <w:rsid w:val="00CC0164"/>
    <w:rsid w:val="00CC3A6D"/>
    <w:rsid w:val="00CC72C2"/>
    <w:rsid w:val="00CC7F10"/>
    <w:rsid w:val="00CD2940"/>
    <w:rsid w:val="00CE245F"/>
    <w:rsid w:val="00CE3332"/>
    <w:rsid w:val="00CE64EB"/>
    <w:rsid w:val="00D17997"/>
    <w:rsid w:val="00D2021C"/>
    <w:rsid w:val="00D2166B"/>
    <w:rsid w:val="00D21B9B"/>
    <w:rsid w:val="00D25A8E"/>
    <w:rsid w:val="00D263D5"/>
    <w:rsid w:val="00D26662"/>
    <w:rsid w:val="00D2725A"/>
    <w:rsid w:val="00D30986"/>
    <w:rsid w:val="00D33ABD"/>
    <w:rsid w:val="00D43738"/>
    <w:rsid w:val="00D51A9C"/>
    <w:rsid w:val="00D55226"/>
    <w:rsid w:val="00D65217"/>
    <w:rsid w:val="00D666AD"/>
    <w:rsid w:val="00D71B6E"/>
    <w:rsid w:val="00D727C5"/>
    <w:rsid w:val="00D7421A"/>
    <w:rsid w:val="00D823AA"/>
    <w:rsid w:val="00D8548B"/>
    <w:rsid w:val="00D85B38"/>
    <w:rsid w:val="00D873F8"/>
    <w:rsid w:val="00D928B6"/>
    <w:rsid w:val="00D935D0"/>
    <w:rsid w:val="00D95D0E"/>
    <w:rsid w:val="00D97DF9"/>
    <w:rsid w:val="00DA2528"/>
    <w:rsid w:val="00DA556D"/>
    <w:rsid w:val="00DA62C0"/>
    <w:rsid w:val="00DB02DB"/>
    <w:rsid w:val="00DB0DE6"/>
    <w:rsid w:val="00DB33E8"/>
    <w:rsid w:val="00DC2296"/>
    <w:rsid w:val="00DD41D3"/>
    <w:rsid w:val="00DD4841"/>
    <w:rsid w:val="00DD6FC7"/>
    <w:rsid w:val="00DE0B2F"/>
    <w:rsid w:val="00DE31B5"/>
    <w:rsid w:val="00DE609A"/>
    <w:rsid w:val="00DE7864"/>
    <w:rsid w:val="00DF216D"/>
    <w:rsid w:val="00DF7AB2"/>
    <w:rsid w:val="00E0046B"/>
    <w:rsid w:val="00E00CFF"/>
    <w:rsid w:val="00E05866"/>
    <w:rsid w:val="00E06563"/>
    <w:rsid w:val="00E136E2"/>
    <w:rsid w:val="00E13BBF"/>
    <w:rsid w:val="00E17C12"/>
    <w:rsid w:val="00E20777"/>
    <w:rsid w:val="00E30B94"/>
    <w:rsid w:val="00E34266"/>
    <w:rsid w:val="00E346DA"/>
    <w:rsid w:val="00E36805"/>
    <w:rsid w:val="00E36963"/>
    <w:rsid w:val="00E36BD4"/>
    <w:rsid w:val="00E440CD"/>
    <w:rsid w:val="00E45DBC"/>
    <w:rsid w:val="00E51131"/>
    <w:rsid w:val="00E52947"/>
    <w:rsid w:val="00E538E4"/>
    <w:rsid w:val="00E631D8"/>
    <w:rsid w:val="00E63AF0"/>
    <w:rsid w:val="00E734B6"/>
    <w:rsid w:val="00E75BF3"/>
    <w:rsid w:val="00E763DD"/>
    <w:rsid w:val="00E8047C"/>
    <w:rsid w:val="00E81923"/>
    <w:rsid w:val="00E858ED"/>
    <w:rsid w:val="00E86ABE"/>
    <w:rsid w:val="00E86F67"/>
    <w:rsid w:val="00E91615"/>
    <w:rsid w:val="00E975D1"/>
    <w:rsid w:val="00E97F2A"/>
    <w:rsid w:val="00EA10FE"/>
    <w:rsid w:val="00EA5FB8"/>
    <w:rsid w:val="00EB7D8C"/>
    <w:rsid w:val="00EC2D47"/>
    <w:rsid w:val="00ED07D9"/>
    <w:rsid w:val="00ED1661"/>
    <w:rsid w:val="00ED381D"/>
    <w:rsid w:val="00ED5FF6"/>
    <w:rsid w:val="00EE245A"/>
    <w:rsid w:val="00EE2CB9"/>
    <w:rsid w:val="00EE6135"/>
    <w:rsid w:val="00EF0DC8"/>
    <w:rsid w:val="00F0024E"/>
    <w:rsid w:val="00F01037"/>
    <w:rsid w:val="00F1075D"/>
    <w:rsid w:val="00F111B2"/>
    <w:rsid w:val="00F14A79"/>
    <w:rsid w:val="00F16216"/>
    <w:rsid w:val="00F16A6A"/>
    <w:rsid w:val="00F21EAB"/>
    <w:rsid w:val="00F25008"/>
    <w:rsid w:val="00F30A30"/>
    <w:rsid w:val="00F31114"/>
    <w:rsid w:val="00F3256D"/>
    <w:rsid w:val="00F34184"/>
    <w:rsid w:val="00F36B7C"/>
    <w:rsid w:val="00F44331"/>
    <w:rsid w:val="00F4455E"/>
    <w:rsid w:val="00F51A39"/>
    <w:rsid w:val="00F5660E"/>
    <w:rsid w:val="00F66DEF"/>
    <w:rsid w:val="00F67214"/>
    <w:rsid w:val="00F742ED"/>
    <w:rsid w:val="00F76107"/>
    <w:rsid w:val="00F8063E"/>
    <w:rsid w:val="00F81F8B"/>
    <w:rsid w:val="00F913A8"/>
    <w:rsid w:val="00FA3011"/>
    <w:rsid w:val="00FA5B7F"/>
    <w:rsid w:val="00FB0F3A"/>
    <w:rsid w:val="00FB21D4"/>
    <w:rsid w:val="00FC4BA1"/>
    <w:rsid w:val="00FC4C3D"/>
    <w:rsid w:val="00FC7EB1"/>
    <w:rsid w:val="00FD47EC"/>
    <w:rsid w:val="00FD5720"/>
    <w:rsid w:val="00FD61D7"/>
    <w:rsid w:val="00FE5C6F"/>
    <w:rsid w:val="00FF45F1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325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35"/>
    <w:rPr>
      <w:rFonts w:eastAsia="Times New Roman" w:cs="Tahoma"/>
      <w:sz w:val="28"/>
    </w:rPr>
  </w:style>
  <w:style w:type="paragraph" w:styleId="2">
    <w:name w:val="heading 2"/>
    <w:basedOn w:val="a"/>
    <w:link w:val="20"/>
    <w:uiPriority w:val="99"/>
    <w:qFormat/>
    <w:rsid w:val="005330F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2362C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30FD"/>
    <w:rPr>
      <w:rFonts w:eastAsia="Times New Roman"/>
      <w:b/>
      <w:sz w:val="36"/>
    </w:rPr>
  </w:style>
  <w:style w:type="character" w:customStyle="1" w:styleId="70">
    <w:name w:val="Заголовок 7 Знак"/>
    <w:link w:val="7"/>
    <w:uiPriority w:val="99"/>
    <w:semiHidden/>
    <w:locked/>
    <w:rsid w:val="0082362C"/>
    <w:rPr>
      <w:rFonts w:ascii="Calibri" w:hAnsi="Calibri"/>
      <w:sz w:val="24"/>
    </w:rPr>
  </w:style>
  <w:style w:type="paragraph" w:styleId="a3">
    <w:name w:val="List Paragraph"/>
    <w:basedOn w:val="a"/>
    <w:link w:val="a4"/>
    <w:uiPriority w:val="34"/>
    <w:qFormat/>
    <w:rsid w:val="00305FAF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305FAF"/>
    <w:pPr>
      <w:spacing w:after="120" w:line="480" w:lineRule="auto"/>
      <w:ind w:left="283"/>
    </w:pPr>
    <w:rPr>
      <w:rFonts w:cs="Times New Roman"/>
      <w:sz w:val="20"/>
    </w:rPr>
  </w:style>
  <w:style w:type="character" w:customStyle="1" w:styleId="22">
    <w:name w:val="Основной текст с отступом 2 Знак"/>
    <w:link w:val="21"/>
    <w:uiPriority w:val="99"/>
    <w:locked/>
    <w:rsid w:val="00305FAF"/>
    <w:rPr>
      <w:rFonts w:eastAsia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305FAF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6">
    <w:name w:val="Нижний колонтитул Знак"/>
    <w:link w:val="a5"/>
    <w:uiPriority w:val="99"/>
    <w:locked/>
    <w:rsid w:val="00305FAF"/>
    <w:rPr>
      <w:rFonts w:eastAsia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305FAF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8">
    <w:name w:val="Верхний колонтитул Знак"/>
    <w:link w:val="a7"/>
    <w:uiPriority w:val="99"/>
    <w:locked/>
    <w:rsid w:val="00305FAF"/>
    <w:rPr>
      <w:rFonts w:eastAsia="Times New Roman"/>
      <w:sz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2C1A12"/>
    <w:rPr>
      <w:rFonts w:ascii="Tahoma" w:hAnsi="Tahoma" w:cs="Times New Roman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locked/>
    <w:rsid w:val="002C1A12"/>
    <w:rPr>
      <w:rFonts w:ascii="Tahoma" w:hAnsi="Tahoma"/>
      <w:sz w:val="16"/>
    </w:rPr>
  </w:style>
  <w:style w:type="character" w:styleId="ab">
    <w:name w:val="Hyperlink"/>
    <w:uiPriority w:val="99"/>
    <w:rsid w:val="005F2E06"/>
    <w:rPr>
      <w:rFonts w:cs="Times New Roman"/>
      <w:color w:val="0000FF"/>
      <w:u w:val="single"/>
    </w:rPr>
  </w:style>
  <w:style w:type="paragraph" w:customStyle="1" w:styleId="ac">
    <w:name w:val="список с точками"/>
    <w:basedOn w:val="a"/>
    <w:uiPriority w:val="99"/>
    <w:rsid w:val="00304094"/>
    <w:pPr>
      <w:tabs>
        <w:tab w:val="num" w:pos="360"/>
        <w:tab w:val="num" w:pos="756"/>
      </w:tabs>
      <w:spacing w:line="312" w:lineRule="auto"/>
      <w:ind w:left="756"/>
      <w:jc w:val="both"/>
    </w:pPr>
    <w:rPr>
      <w:rFonts w:cs="Times New Roman"/>
      <w:sz w:val="24"/>
      <w:szCs w:val="24"/>
    </w:rPr>
  </w:style>
  <w:style w:type="paragraph" w:customStyle="1" w:styleId="ad">
    <w:name w:val="Для таблиц"/>
    <w:basedOn w:val="a"/>
    <w:uiPriority w:val="99"/>
    <w:rsid w:val="0030409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98341E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8341E"/>
    <w:rPr>
      <w:rFonts w:ascii="Tahoma" w:hAnsi="Tahoma"/>
      <w:sz w:val="16"/>
    </w:rPr>
  </w:style>
  <w:style w:type="paragraph" w:styleId="af0">
    <w:name w:val="Normal (Web)"/>
    <w:basedOn w:val="a"/>
    <w:uiPriority w:val="99"/>
    <w:rsid w:val="0082362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DD6FC7"/>
    <w:pPr>
      <w:spacing w:after="120"/>
      <w:ind w:left="283"/>
    </w:pPr>
    <w:rPr>
      <w:rFonts w:cs="Times New Roman"/>
    </w:rPr>
  </w:style>
  <w:style w:type="character" w:customStyle="1" w:styleId="af2">
    <w:name w:val="Основной текст с отступом Знак"/>
    <w:link w:val="af1"/>
    <w:uiPriority w:val="99"/>
    <w:locked/>
    <w:rsid w:val="00DD6FC7"/>
    <w:rPr>
      <w:rFonts w:eastAsia="Times New Roman"/>
      <w:sz w:val="28"/>
    </w:rPr>
  </w:style>
  <w:style w:type="paragraph" w:styleId="af3">
    <w:name w:val="footnote text"/>
    <w:basedOn w:val="a"/>
    <w:link w:val="af4"/>
    <w:uiPriority w:val="99"/>
    <w:rsid w:val="00DD6FC7"/>
    <w:rPr>
      <w:rFonts w:ascii="Calibri" w:eastAsia="Calibri" w:hAnsi="Calibri" w:cs="Times New Roman"/>
      <w:sz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164018"/>
    <w:rPr>
      <w:rFonts w:eastAsia="Times New Roman"/>
      <w:lang w:val="ru-RU" w:eastAsia="ru-RU"/>
    </w:rPr>
  </w:style>
  <w:style w:type="character" w:customStyle="1" w:styleId="af4">
    <w:name w:val="Текст сноски Знак"/>
    <w:link w:val="af3"/>
    <w:uiPriority w:val="99"/>
    <w:locked/>
    <w:rsid w:val="00DD6FC7"/>
    <w:rPr>
      <w:rFonts w:ascii="Calibri" w:eastAsia="Times New Roman" w:hAnsi="Calibri"/>
      <w:lang w:eastAsia="en-US"/>
    </w:rPr>
  </w:style>
  <w:style w:type="character" w:styleId="af5">
    <w:name w:val="footnote reference"/>
    <w:uiPriority w:val="99"/>
    <w:semiHidden/>
    <w:rsid w:val="00DD6FC7"/>
    <w:rPr>
      <w:rFonts w:cs="Times New Roman"/>
      <w:vertAlign w:val="superscript"/>
    </w:rPr>
  </w:style>
  <w:style w:type="paragraph" w:customStyle="1" w:styleId="Default">
    <w:name w:val="Default"/>
    <w:uiPriority w:val="99"/>
    <w:rsid w:val="00DD6F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6">
    <w:name w:val="Plain Text"/>
    <w:basedOn w:val="a"/>
    <w:link w:val="af7"/>
    <w:uiPriority w:val="99"/>
    <w:rsid w:val="001F3207"/>
    <w:rPr>
      <w:rFonts w:ascii="Courier New" w:hAnsi="Courier New" w:cs="Times New Roman"/>
      <w:sz w:val="20"/>
    </w:rPr>
  </w:style>
  <w:style w:type="character" w:customStyle="1" w:styleId="af7">
    <w:name w:val="Текст Знак"/>
    <w:link w:val="af6"/>
    <w:uiPriority w:val="99"/>
    <w:locked/>
    <w:rsid w:val="001F3207"/>
    <w:rPr>
      <w:rFonts w:ascii="Courier New" w:hAnsi="Courier New"/>
    </w:rPr>
  </w:style>
  <w:style w:type="table" w:styleId="af8">
    <w:name w:val="Table Grid"/>
    <w:basedOn w:val="a1"/>
    <w:uiPriority w:val="99"/>
    <w:rsid w:val="00BE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rsid w:val="003B2A07"/>
    <w:pPr>
      <w:spacing w:after="120"/>
    </w:pPr>
    <w:rPr>
      <w:rFonts w:cs="Times New Roman"/>
    </w:rPr>
  </w:style>
  <w:style w:type="character" w:customStyle="1" w:styleId="afa">
    <w:name w:val="Основной текст Знак"/>
    <w:link w:val="af9"/>
    <w:uiPriority w:val="99"/>
    <w:locked/>
    <w:rsid w:val="003B2A07"/>
    <w:rPr>
      <w:rFonts w:eastAsia="Times New Roman"/>
      <w:sz w:val="28"/>
    </w:rPr>
  </w:style>
  <w:style w:type="character" w:customStyle="1" w:styleId="a4">
    <w:name w:val="Абзац списка Знак"/>
    <w:link w:val="a3"/>
    <w:uiPriority w:val="99"/>
    <w:locked/>
    <w:rsid w:val="00DE7864"/>
    <w:rPr>
      <w:rFonts w:eastAsia="Times New Roman" w:cs="Tahoma"/>
      <w:sz w:val="28"/>
    </w:rPr>
  </w:style>
  <w:style w:type="paragraph" w:customStyle="1" w:styleId="228bf8a64b8551e1msonormal">
    <w:name w:val="228bf8a64b8551e1msonormal"/>
    <w:basedOn w:val="a"/>
    <w:rsid w:val="00A53F7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fb">
    <w:name w:val="Placeholder Text"/>
    <w:basedOn w:val="a0"/>
    <w:uiPriority w:val="99"/>
    <w:semiHidden/>
    <w:rsid w:val="0009128F"/>
    <w:rPr>
      <w:color w:val="808080"/>
    </w:rPr>
  </w:style>
  <w:style w:type="character" w:customStyle="1" w:styleId="FontStyle55">
    <w:name w:val="Font Style55"/>
    <w:rsid w:val="00F30A30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35"/>
    <w:rPr>
      <w:rFonts w:eastAsia="Times New Roman" w:cs="Tahoma"/>
      <w:sz w:val="28"/>
    </w:rPr>
  </w:style>
  <w:style w:type="paragraph" w:styleId="2">
    <w:name w:val="heading 2"/>
    <w:basedOn w:val="a"/>
    <w:link w:val="20"/>
    <w:uiPriority w:val="99"/>
    <w:qFormat/>
    <w:rsid w:val="005330F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2362C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30FD"/>
    <w:rPr>
      <w:rFonts w:eastAsia="Times New Roman"/>
      <w:b/>
      <w:sz w:val="36"/>
    </w:rPr>
  </w:style>
  <w:style w:type="character" w:customStyle="1" w:styleId="70">
    <w:name w:val="Заголовок 7 Знак"/>
    <w:link w:val="7"/>
    <w:uiPriority w:val="99"/>
    <w:semiHidden/>
    <w:locked/>
    <w:rsid w:val="0082362C"/>
    <w:rPr>
      <w:rFonts w:ascii="Calibri" w:hAnsi="Calibri"/>
      <w:sz w:val="24"/>
    </w:rPr>
  </w:style>
  <w:style w:type="paragraph" w:styleId="a3">
    <w:name w:val="List Paragraph"/>
    <w:basedOn w:val="a"/>
    <w:link w:val="a4"/>
    <w:uiPriority w:val="34"/>
    <w:qFormat/>
    <w:rsid w:val="00305FAF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305FAF"/>
    <w:pPr>
      <w:spacing w:after="120" w:line="480" w:lineRule="auto"/>
      <w:ind w:left="283"/>
    </w:pPr>
    <w:rPr>
      <w:rFonts w:cs="Times New Roman"/>
      <w:sz w:val="20"/>
    </w:rPr>
  </w:style>
  <w:style w:type="character" w:customStyle="1" w:styleId="22">
    <w:name w:val="Основной текст с отступом 2 Знак"/>
    <w:link w:val="21"/>
    <w:uiPriority w:val="99"/>
    <w:locked/>
    <w:rsid w:val="00305FAF"/>
    <w:rPr>
      <w:rFonts w:eastAsia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305FAF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6">
    <w:name w:val="Нижний колонтитул Знак"/>
    <w:link w:val="a5"/>
    <w:uiPriority w:val="99"/>
    <w:locked/>
    <w:rsid w:val="00305FAF"/>
    <w:rPr>
      <w:rFonts w:eastAsia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305FAF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8">
    <w:name w:val="Верхний колонтитул Знак"/>
    <w:link w:val="a7"/>
    <w:uiPriority w:val="99"/>
    <w:locked/>
    <w:rsid w:val="00305FAF"/>
    <w:rPr>
      <w:rFonts w:eastAsia="Times New Roman"/>
      <w:sz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2C1A12"/>
    <w:rPr>
      <w:rFonts w:ascii="Tahoma" w:hAnsi="Tahoma" w:cs="Times New Roman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locked/>
    <w:rsid w:val="002C1A12"/>
    <w:rPr>
      <w:rFonts w:ascii="Tahoma" w:hAnsi="Tahoma"/>
      <w:sz w:val="16"/>
    </w:rPr>
  </w:style>
  <w:style w:type="character" w:styleId="ab">
    <w:name w:val="Hyperlink"/>
    <w:uiPriority w:val="99"/>
    <w:rsid w:val="005F2E06"/>
    <w:rPr>
      <w:rFonts w:cs="Times New Roman"/>
      <w:color w:val="0000FF"/>
      <w:u w:val="single"/>
    </w:rPr>
  </w:style>
  <w:style w:type="paragraph" w:customStyle="1" w:styleId="ac">
    <w:name w:val="список с точками"/>
    <w:basedOn w:val="a"/>
    <w:uiPriority w:val="99"/>
    <w:rsid w:val="00304094"/>
    <w:pPr>
      <w:tabs>
        <w:tab w:val="num" w:pos="360"/>
        <w:tab w:val="num" w:pos="756"/>
      </w:tabs>
      <w:spacing w:line="312" w:lineRule="auto"/>
      <w:ind w:left="756"/>
      <w:jc w:val="both"/>
    </w:pPr>
    <w:rPr>
      <w:rFonts w:cs="Times New Roman"/>
      <w:sz w:val="24"/>
      <w:szCs w:val="24"/>
    </w:rPr>
  </w:style>
  <w:style w:type="paragraph" w:customStyle="1" w:styleId="ad">
    <w:name w:val="Для таблиц"/>
    <w:basedOn w:val="a"/>
    <w:uiPriority w:val="99"/>
    <w:rsid w:val="0030409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98341E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8341E"/>
    <w:rPr>
      <w:rFonts w:ascii="Tahoma" w:hAnsi="Tahoma"/>
      <w:sz w:val="16"/>
    </w:rPr>
  </w:style>
  <w:style w:type="paragraph" w:styleId="af0">
    <w:name w:val="Normal (Web)"/>
    <w:basedOn w:val="a"/>
    <w:uiPriority w:val="99"/>
    <w:rsid w:val="0082362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DD6FC7"/>
    <w:pPr>
      <w:spacing w:after="120"/>
      <w:ind w:left="283"/>
    </w:pPr>
    <w:rPr>
      <w:rFonts w:cs="Times New Roman"/>
    </w:rPr>
  </w:style>
  <w:style w:type="character" w:customStyle="1" w:styleId="af2">
    <w:name w:val="Основной текст с отступом Знак"/>
    <w:link w:val="af1"/>
    <w:uiPriority w:val="99"/>
    <w:locked/>
    <w:rsid w:val="00DD6FC7"/>
    <w:rPr>
      <w:rFonts w:eastAsia="Times New Roman"/>
      <w:sz w:val="28"/>
    </w:rPr>
  </w:style>
  <w:style w:type="paragraph" w:styleId="af3">
    <w:name w:val="footnote text"/>
    <w:basedOn w:val="a"/>
    <w:link w:val="af4"/>
    <w:uiPriority w:val="99"/>
    <w:rsid w:val="00DD6FC7"/>
    <w:rPr>
      <w:rFonts w:ascii="Calibri" w:eastAsia="Calibri" w:hAnsi="Calibri" w:cs="Times New Roman"/>
      <w:sz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164018"/>
    <w:rPr>
      <w:rFonts w:eastAsia="Times New Roman"/>
      <w:lang w:val="ru-RU" w:eastAsia="ru-RU"/>
    </w:rPr>
  </w:style>
  <w:style w:type="character" w:customStyle="1" w:styleId="af4">
    <w:name w:val="Текст сноски Знак"/>
    <w:link w:val="af3"/>
    <w:uiPriority w:val="99"/>
    <w:locked/>
    <w:rsid w:val="00DD6FC7"/>
    <w:rPr>
      <w:rFonts w:ascii="Calibri" w:eastAsia="Times New Roman" w:hAnsi="Calibri"/>
      <w:lang w:eastAsia="en-US"/>
    </w:rPr>
  </w:style>
  <w:style w:type="character" w:styleId="af5">
    <w:name w:val="footnote reference"/>
    <w:uiPriority w:val="99"/>
    <w:semiHidden/>
    <w:rsid w:val="00DD6FC7"/>
    <w:rPr>
      <w:rFonts w:cs="Times New Roman"/>
      <w:vertAlign w:val="superscript"/>
    </w:rPr>
  </w:style>
  <w:style w:type="paragraph" w:customStyle="1" w:styleId="Default">
    <w:name w:val="Default"/>
    <w:uiPriority w:val="99"/>
    <w:rsid w:val="00DD6F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6">
    <w:name w:val="Plain Text"/>
    <w:basedOn w:val="a"/>
    <w:link w:val="af7"/>
    <w:uiPriority w:val="99"/>
    <w:rsid w:val="001F3207"/>
    <w:rPr>
      <w:rFonts w:ascii="Courier New" w:hAnsi="Courier New" w:cs="Times New Roman"/>
      <w:sz w:val="20"/>
    </w:rPr>
  </w:style>
  <w:style w:type="character" w:customStyle="1" w:styleId="af7">
    <w:name w:val="Текст Знак"/>
    <w:link w:val="af6"/>
    <w:uiPriority w:val="99"/>
    <w:locked/>
    <w:rsid w:val="001F3207"/>
    <w:rPr>
      <w:rFonts w:ascii="Courier New" w:hAnsi="Courier New"/>
    </w:rPr>
  </w:style>
  <w:style w:type="table" w:styleId="af8">
    <w:name w:val="Table Grid"/>
    <w:basedOn w:val="a1"/>
    <w:uiPriority w:val="99"/>
    <w:rsid w:val="00BE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rsid w:val="003B2A07"/>
    <w:pPr>
      <w:spacing w:after="120"/>
    </w:pPr>
    <w:rPr>
      <w:rFonts w:cs="Times New Roman"/>
    </w:rPr>
  </w:style>
  <w:style w:type="character" w:customStyle="1" w:styleId="afa">
    <w:name w:val="Основной текст Знак"/>
    <w:link w:val="af9"/>
    <w:uiPriority w:val="99"/>
    <w:locked/>
    <w:rsid w:val="003B2A07"/>
    <w:rPr>
      <w:rFonts w:eastAsia="Times New Roman"/>
      <w:sz w:val="28"/>
    </w:rPr>
  </w:style>
  <w:style w:type="character" w:customStyle="1" w:styleId="a4">
    <w:name w:val="Абзац списка Знак"/>
    <w:link w:val="a3"/>
    <w:uiPriority w:val="99"/>
    <w:locked/>
    <w:rsid w:val="00DE7864"/>
    <w:rPr>
      <w:rFonts w:eastAsia="Times New Roman" w:cs="Tahoma"/>
      <w:sz w:val="28"/>
    </w:rPr>
  </w:style>
  <w:style w:type="paragraph" w:customStyle="1" w:styleId="228bf8a64b8551e1msonormal">
    <w:name w:val="228bf8a64b8551e1msonormal"/>
    <w:basedOn w:val="a"/>
    <w:rsid w:val="00A53F7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fb">
    <w:name w:val="Placeholder Text"/>
    <w:basedOn w:val="a0"/>
    <w:uiPriority w:val="99"/>
    <w:semiHidden/>
    <w:rsid w:val="0009128F"/>
    <w:rPr>
      <w:color w:val="808080"/>
    </w:rPr>
  </w:style>
  <w:style w:type="character" w:customStyle="1" w:styleId="FontStyle55">
    <w:name w:val="Font Style55"/>
    <w:rsid w:val="00F30A30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Pedagogikal State University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Флаксман Анна Александровна</cp:lastModifiedBy>
  <cp:revision>2</cp:revision>
  <cp:lastPrinted>2017-03-07T12:12:00Z</cp:lastPrinted>
  <dcterms:created xsi:type="dcterms:W3CDTF">2023-08-31T05:31:00Z</dcterms:created>
  <dcterms:modified xsi:type="dcterms:W3CDTF">2023-08-31T05:31:00Z</dcterms:modified>
</cp:coreProperties>
</file>